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AFF3" w14:textId="2294DF4A" w:rsidR="003A4B69" w:rsidRPr="003C6653" w:rsidRDefault="003A4B69" w:rsidP="00526AD1">
      <w:pPr>
        <w:ind w:firstLine="720"/>
        <w:jc w:val="center"/>
        <w:rPr>
          <w:b/>
          <w:sz w:val="28"/>
          <w:szCs w:val="28"/>
        </w:rPr>
      </w:pPr>
      <w:r w:rsidRPr="003C6653">
        <w:rPr>
          <w:b/>
          <w:sz w:val="28"/>
          <w:szCs w:val="28"/>
        </w:rPr>
        <w:t>University of Louisiana at Monroe</w:t>
      </w:r>
    </w:p>
    <w:p w14:paraId="5FE928B3" w14:textId="77777777" w:rsidR="00C3234C" w:rsidRDefault="003A4B69" w:rsidP="003A4B69">
      <w:pPr>
        <w:jc w:val="center"/>
        <w:rPr>
          <w:rFonts w:ascii="Georgia" w:hAnsi="Georgia"/>
          <w:b/>
        </w:rPr>
      </w:pPr>
      <w:r w:rsidRPr="003C6653">
        <w:rPr>
          <w:b/>
          <w:sz w:val="28"/>
          <w:szCs w:val="28"/>
        </w:rPr>
        <w:t>Job Description</w:t>
      </w:r>
    </w:p>
    <w:p w14:paraId="5DAB6C7B" w14:textId="77777777" w:rsidR="00B51078" w:rsidRDefault="00B51078" w:rsidP="00B51078">
      <w:pPr>
        <w:rPr>
          <w:rFonts w:ascii="Georgia" w:hAnsi="Georgia" w:cs="Arial"/>
          <w:i/>
          <w:sz w:val="20"/>
        </w:rPr>
      </w:pPr>
    </w:p>
    <w:p w14:paraId="02EB378F" w14:textId="77777777" w:rsidR="003A4B69" w:rsidRPr="00C3234C" w:rsidRDefault="003A4B69" w:rsidP="003A4B69">
      <w:pPr>
        <w:jc w:val="center"/>
        <w:rPr>
          <w:rFonts w:ascii="Georgia" w:hAnsi="Georgia" w:cs="Arial"/>
          <w:i/>
          <w:sz w:val="20"/>
        </w:rPr>
      </w:pPr>
    </w:p>
    <w:tbl>
      <w:tblPr>
        <w:tblStyle w:val="TableGrid"/>
        <w:tblW w:w="10170" w:type="dxa"/>
        <w:tblLook w:val="01E0" w:firstRow="1" w:lastRow="1" w:firstColumn="1" w:lastColumn="1" w:noHBand="0" w:noVBand="0"/>
      </w:tblPr>
      <w:tblGrid>
        <w:gridCol w:w="3722"/>
        <w:gridCol w:w="6448"/>
      </w:tblGrid>
      <w:tr w:rsidR="00C3234C" w:rsidRPr="00A51435" w14:paraId="0C600768" w14:textId="77777777" w:rsidTr="00CC3BDF">
        <w:trPr>
          <w:trHeight w:val="490"/>
        </w:trPr>
        <w:tc>
          <w:tcPr>
            <w:tcW w:w="3722" w:type="dxa"/>
          </w:tcPr>
          <w:p w14:paraId="73FAC522" w14:textId="77777777" w:rsidR="00D91A19" w:rsidRPr="003C6653" w:rsidRDefault="00AB0FCD">
            <w:pPr>
              <w:rPr>
                <w:b/>
              </w:rPr>
            </w:pPr>
            <w:r w:rsidRPr="003C6653">
              <w:rPr>
                <w:b/>
              </w:rPr>
              <w:t>Job Title</w:t>
            </w:r>
          </w:p>
        </w:tc>
        <w:tc>
          <w:tcPr>
            <w:tcW w:w="6448" w:type="dxa"/>
          </w:tcPr>
          <w:p w14:paraId="0D4503B2" w14:textId="454F7E06" w:rsidR="00D91A19" w:rsidRPr="003C6653" w:rsidRDefault="00863634">
            <w:pPr>
              <w:ind w:left="72"/>
            </w:pPr>
            <w:r>
              <w:t>Director of Pharm.D. Program</w:t>
            </w:r>
          </w:p>
        </w:tc>
      </w:tr>
      <w:tr w:rsidR="00AB0FCD" w:rsidRPr="00A51435" w14:paraId="0BBFA5C1" w14:textId="77777777" w:rsidTr="00CC3BDF">
        <w:trPr>
          <w:trHeight w:val="490"/>
        </w:trPr>
        <w:tc>
          <w:tcPr>
            <w:tcW w:w="3722" w:type="dxa"/>
          </w:tcPr>
          <w:p w14:paraId="333DBD98" w14:textId="77777777" w:rsidR="00AB0FCD" w:rsidRPr="003C6653" w:rsidRDefault="00AB0FCD">
            <w:pPr>
              <w:rPr>
                <w:b/>
              </w:rPr>
            </w:pPr>
            <w:r w:rsidRPr="003C6653">
              <w:rPr>
                <w:b/>
              </w:rPr>
              <w:t>College/School/Department/Office</w:t>
            </w:r>
          </w:p>
        </w:tc>
        <w:tc>
          <w:tcPr>
            <w:tcW w:w="6448" w:type="dxa"/>
          </w:tcPr>
          <w:p w14:paraId="1E1BA409" w14:textId="77777777" w:rsidR="00AB0FCD" w:rsidRPr="003C6653" w:rsidRDefault="00DE6BD6">
            <w:pPr>
              <w:ind w:left="72"/>
            </w:pPr>
            <w:r>
              <w:t xml:space="preserve">College of </w:t>
            </w:r>
            <w:r w:rsidR="004A3E3D">
              <w:t>Pharmacy/Administration</w:t>
            </w:r>
          </w:p>
        </w:tc>
      </w:tr>
      <w:tr w:rsidR="002D7AE4" w:rsidRPr="00A51435" w14:paraId="649C02A5" w14:textId="77777777" w:rsidTr="00CC3BDF">
        <w:trPr>
          <w:trHeight w:val="490"/>
        </w:trPr>
        <w:tc>
          <w:tcPr>
            <w:tcW w:w="3722" w:type="dxa"/>
          </w:tcPr>
          <w:p w14:paraId="01CAF61D" w14:textId="77777777" w:rsidR="002D7AE4" w:rsidRPr="003C6653" w:rsidRDefault="002D7AE4">
            <w:r w:rsidRPr="003C6653">
              <w:rPr>
                <w:b/>
              </w:rPr>
              <w:t>Reports to</w:t>
            </w:r>
          </w:p>
        </w:tc>
        <w:tc>
          <w:tcPr>
            <w:tcW w:w="6448" w:type="dxa"/>
          </w:tcPr>
          <w:p w14:paraId="2FB91485" w14:textId="18380D00" w:rsidR="002D7AE4" w:rsidRPr="003C6653" w:rsidRDefault="00863634">
            <w:pPr>
              <w:ind w:left="72"/>
            </w:pPr>
            <w:r w:rsidRPr="00D133EC">
              <w:rPr>
                <w:bCs/>
              </w:rPr>
              <w:t>Assistant</w:t>
            </w:r>
            <w:r>
              <w:rPr>
                <w:b/>
              </w:rPr>
              <w:t xml:space="preserve"> </w:t>
            </w:r>
            <w:r w:rsidRPr="00D2243C">
              <w:t>Dean</w:t>
            </w:r>
            <w:r>
              <w:t xml:space="preserve"> of Academic Affairs</w:t>
            </w:r>
            <w:r w:rsidRPr="00D2243C">
              <w:t>, College of Pharmacy</w:t>
            </w:r>
          </w:p>
        </w:tc>
      </w:tr>
      <w:tr w:rsidR="000512EC" w:rsidRPr="00A51435" w14:paraId="38AC85F4" w14:textId="77777777" w:rsidTr="00CC3BDF">
        <w:trPr>
          <w:trHeight w:val="490"/>
        </w:trPr>
        <w:tc>
          <w:tcPr>
            <w:tcW w:w="3722" w:type="dxa"/>
          </w:tcPr>
          <w:p w14:paraId="688FD590" w14:textId="77777777" w:rsidR="000512EC" w:rsidRPr="003C6653" w:rsidRDefault="000512EC">
            <w:pPr>
              <w:rPr>
                <w:b/>
              </w:rPr>
            </w:pPr>
            <w:r>
              <w:rPr>
                <w:b/>
              </w:rPr>
              <w:t>Employee Classification (classified, unclassified, faculty)</w:t>
            </w:r>
          </w:p>
        </w:tc>
        <w:tc>
          <w:tcPr>
            <w:tcW w:w="6448" w:type="dxa"/>
          </w:tcPr>
          <w:p w14:paraId="1B44D4A7" w14:textId="77777777" w:rsidR="000512EC" w:rsidRPr="003C6653" w:rsidRDefault="00DE6BD6">
            <w:pPr>
              <w:ind w:left="72"/>
            </w:pPr>
            <w:r>
              <w:t xml:space="preserve">12-month </w:t>
            </w:r>
            <w:r w:rsidR="004A3E3D">
              <w:t>Faculty</w:t>
            </w:r>
          </w:p>
        </w:tc>
      </w:tr>
    </w:tbl>
    <w:p w14:paraId="6A05A809" w14:textId="77777777" w:rsidR="002D7AE4" w:rsidRDefault="002D7AE4">
      <w:pPr>
        <w:rPr>
          <w:rFonts w:ascii="Georgia" w:hAnsi="Georgia" w:cs="Arial"/>
          <w:sz w:val="20"/>
        </w:rPr>
      </w:pPr>
    </w:p>
    <w:p w14:paraId="5A39BBE3" w14:textId="77777777" w:rsidR="00C3234C" w:rsidRPr="00A51435" w:rsidRDefault="00C3234C">
      <w:pPr>
        <w:rPr>
          <w:rFonts w:ascii="Georgia" w:hAnsi="Georgia" w:cs="Arial"/>
          <w:sz w:val="20"/>
        </w:rPr>
      </w:pPr>
    </w:p>
    <w:p w14:paraId="7CEBFB92" w14:textId="77777777" w:rsidR="002D7AE4" w:rsidRPr="003C6653" w:rsidRDefault="000512EC">
      <w:pPr>
        <w:shd w:val="clear" w:color="auto" w:fill="E0E0E0"/>
        <w:rPr>
          <w:b/>
        </w:rPr>
      </w:pPr>
      <w:r>
        <w:rPr>
          <w:b/>
        </w:rPr>
        <w:t>Job Summary</w:t>
      </w:r>
    </w:p>
    <w:p w14:paraId="0857C404" w14:textId="77777777" w:rsidR="00863634" w:rsidRPr="00C46AC5" w:rsidRDefault="00863634" w:rsidP="00863634">
      <w:pPr>
        <w:spacing w:before="100" w:beforeAutospacing="1" w:after="100" w:afterAutospacing="1"/>
      </w:pPr>
      <w:r w:rsidRPr="00C46AC5">
        <w:t>The Director of the PharmD Program provides leadership, coordination, and oversight for the professional Doctor of Pharmacy curriculum. The Director is responsible for ensuring alignment of the curriculum with accreditation standards, supporting faculty in course delivery, and fostering student success through integrated academic and professional development experiences.</w:t>
      </w:r>
    </w:p>
    <w:p w14:paraId="2A078367" w14:textId="77777777" w:rsidR="00863634" w:rsidRPr="00C46AC5" w:rsidRDefault="00863634" w:rsidP="00863634">
      <w:pPr>
        <w:spacing w:before="100" w:beforeAutospacing="1" w:after="100" w:afterAutospacing="1"/>
      </w:pPr>
      <w:r w:rsidRPr="00C46AC5">
        <w:t>A central component of this role is oversight of the Personal Growth &amp; Development (PGD) course series and Interprofessional Education (IPE) program. The PGD series is a six-semester sequence of one-credit courses focused on professional identity formation, leadership, resilience, and personal development, delivered in concert with IPE activities.</w:t>
      </w:r>
    </w:p>
    <w:p w14:paraId="41C8F396" w14:textId="77777777" w:rsidR="002D7AE4" w:rsidRPr="003C6653" w:rsidRDefault="002D7AE4">
      <w:pPr>
        <w:ind w:left="360"/>
      </w:pPr>
    </w:p>
    <w:p w14:paraId="41DA92C2" w14:textId="77777777" w:rsidR="00DE6BD6" w:rsidRDefault="000512EC" w:rsidP="00DE6BD6">
      <w:pPr>
        <w:shd w:val="clear" w:color="auto" w:fill="E0E0E0"/>
      </w:pPr>
      <w:r>
        <w:rPr>
          <w:b/>
        </w:rPr>
        <w:t>Duties and R</w:t>
      </w:r>
      <w:r w:rsidR="002D7AE4" w:rsidRPr="003C6653">
        <w:rPr>
          <w:b/>
        </w:rPr>
        <w:t>esponsibilities</w:t>
      </w:r>
      <w:r w:rsidR="004A3E3D" w:rsidRPr="006D69E0">
        <w:rPr>
          <w:b/>
        </w:rPr>
        <w:t>:</w:t>
      </w:r>
      <w:r w:rsidR="004A3E3D">
        <w:t xml:space="preserve">  </w:t>
      </w:r>
    </w:p>
    <w:p w14:paraId="73DAEFB3" w14:textId="3D6F5B79" w:rsidR="00DE6BD6" w:rsidRPr="00DE6BD6" w:rsidRDefault="00DE6BD6" w:rsidP="00DE6BD6">
      <w:r w:rsidRPr="00DE6BD6">
        <w:t xml:space="preserve">Includes the following, with other duties that may be assigned by </w:t>
      </w:r>
      <w:r w:rsidR="00381AA0" w:rsidRPr="00DE6BD6">
        <w:t>the Dean</w:t>
      </w:r>
      <w:r w:rsidRPr="00DE6BD6">
        <w:t>:</w:t>
      </w:r>
    </w:p>
    <w:p w14:paraId="5A9AA1BB" w14:textId="77777777" w:rsidR="00863634" w:rsidRPr="00C46AC5" w:rsidRDefault="00863634" w:rsidP="00863634">
      <w:pPr>
        <w:pStyle w:val="ListParagraph"/>
        <w:numPr>
          <w:ilvl w:val="0"/>
          <w:numId w:val="6"/>
        </w:numPr>
        <w:autoSpaceDE w:val="0"/>
        <w:autoSpaceDN w:val="0"/>
        <w:adjustRightInd w:val="0"/>
      </w:pPr>
      <w:r w:rsidRPr="00C46AC5">
        <w:t>Responsible for all aspects of the BS in the Pharmaceutical Sciences program and</w:t>
      </w:r>
    </w:p>
    <w:p w14:paraId="780C2AF3" w14:textId="53EF2BC6" w:rsidR="00863634" w:rsidRPr="00C46AC5" w:rsidRDefault="00863634" w:rsidP="002B2E7B">
      <w:pPr>
        <w:autoSpaceDE w:val="0"/>
        <w:autoSpaceDN w:val="0"/>
        <w:adjustRightInd w:val="0"/>
        <w:ind w:firstLine="720"/>
      </w:pPr>
      <w:r w:rsidRPr="00C46AC5">
        <w:t>the Pharm.D. in the Pharmacy program.</w:t>
      </w:r>
    </w:p>
    <w:p w14:paraId="05D89A80" w14:textId="77777777" w:rsidR="00863634" w:rsidRPr="00C46AC5" w:rsidRDefault="00863634" w:rsidP="00863634">
      <w:pPr>
        <w:pStyle w:val="ListParagraph"/>
        <w:numPr>
          <w:ilvl w:val="0"/>
          <w:numId w:val="7"/>
        </w:numPr>
        <w:autoSpaceDE w:val="0"/>
        <w:autoSpaceDN w:val="0"/>
        <w:adjustRightInd w:val="0"/>
      </w:pPr>
      <w:r w:rsidRPr="00C46AC5">
        <w:t>Oversee development and implementation of curriculum in the College of Pharmacy.</w:t>
      </w:r>
    </w:p>
    <w:p w14:paraId="61ABDB78" w14:textId="77777777" w:rsidR="00863634" w:rsidRPr="00C46AC5" w:rsidRDefault="00863634" w:rsidP="00863634">
      <w:pPr>
        <w:pStyle w:val="ListParagraph"/>
        <w:numPr>
          <w:ilvl w:val="0"/>
          <w:numId w:val="7"/>
        </w:numPr>
        <w:autoSpaceDE w:val="0"/>
        <w:autoSpaceDN w:val="0"/>
        <w:adjustRightInd w:val="0"/>
      </w:pPr>
      <w:r w:rsidRPr="00C46AC5">
        <w:t>Review all course evaluations each semester.</w:t>
      </w:r>
    </w:p>
    <w:p w14:paraId="190F6290" w14:textId="77777777" w:rsidR="00863634" w:rsidRPr="00C46AC5" w:rsidRDefault="00863634" w:rsidP="00863634">
      <w:pPr>
        <w:pStyle w:val="ListParagraph"/>
        <w:numPr>
          <w:ilvl w:val="0"/>
          <w:numId w:val="7"/>
        </w:numPr>
        <w:autoSpaceDE w:val="0"/>
        <w:autoSpaceDN w:val="0"/>
        <w:adjustRightInd w:val="0"/>
      </w:pPr>
      <w:r w:rsidRPr="00C46AC5">
        <w:t>Maintain a description of Curricular Endpoint Competencies and a file of current descriptions of the learning objectives and course syllabi of each of the courses in the professional curriculum.</w:t>
      </w:r>
    </w:p>
    <w:p w14:paraId="7E44EB3A" w14:textId="77777777" w:rsidR="00863634" w:rsidRPr="00C46AC5" w:rsidRDefault="00863634" w:rsidP="00863634">
      <w:pPr>
        <w:pStyle w:val="ListParagraph"/>
        <w:numPr>
          <w:ilvl w:val="0"/>
          <w:numId w:val="7"/>
        </w:numPr>
        <w:autoSpaceDE w:val="0"/>
        <w:autoSpaceDN w:val="0"/>
        <w:adjustRightInd w:val="0"/>
      </w:pPr>
      <w:r w:rsidRPr="00C46AC5">
        <w:t>Maintain the College’s pre-pharmacy and professional pharmacy section of the University’s undergraduate and graduate catalogs.</w:t>
      </w:r>
    </w:p>
    <w:p w14:paraId="350103C3" w14:textId="77777777" w:rsidR="00863634" w:rsidRPr="00C46AC5" w:rsidRDefault="00863634" w:rsidP="00863634">
      <w:pPr>
        <w:pStyle w:val="ListParagraph"/>
        <w:numPr>
          <w:ilvl w:val="0"/>
          <w:numId w:val="7"/>
        </w:numPr>
        <w:autoSpaceDE w:val="0"/>
        <w:autoSpaceDN w:val="0"/>
        <w:adjustRightInd w:val="0"/>
      </w:pPr>
      <w:r w:rsidRPr="00C46AC5">
        <w:t xml:space="preserve">Enforce course prerequisites. </w:t>
      </w:r>
    </w:p>
    <w:p w14:paraId="02FA14B4" w14:textId="77777777" w:rsidR="00863634" w:rsidRPr="00C46AC5" w:rsidRDefault="00863634" w:rsidP="00863634">
      <w:pPr>
        <w:pStyle w:val="ListParagraph"/>
        <w:numPr>
          <w:ilvl w:val="0"/>
          <w:numId w:val="7"/>
        </w:numPr>
        <w:autoSpaceDE w:val="0"/>
        <w:autoSpaceDN w:val="0"/>
        <w:adjustRightInd w:val="0"/>
      </w:pPr>
      <w:r w:rsidRPr="00C46AC5">
        <w:t>Schedule courses, exams and work load reports each semester.</w:t>
      </w:r>
    </w:p>
    <w:p w14:paraId="4EF8EE18" w14:textId="77777777" w:rsidR="00863634" w:rsidRPr="00984B22" w:rsidRDefault="00863634" w:rsidP="00863634">
      <w:pPr>
        <w:pStyle w:val="ListParagraph"/>
        <w:numPr>
          <w:ilvl w:val="0"/>
          <w:numId w:val="6"/>
        </w:numPr>
        <w:autoSpaceDE w:val="0"/>
        <w:autoSpaceDN w:val="0"/>
        <w:adjustRightInd w:val="0"/>
      </w:pPr>
      <w:r w:rsidRPr="00C46AC5">
        <w:t>Responsible for comprehensive programmatic delivery of the Interprofessional Education Program (IPE)</w:t>
      </w:r>
    </w:p>
    <w:p w14:paraId="3ED2EB1C" w14:textId="77777777" w:rsidR="00863634" w:rsidRPr="00C46AC5" w:rsidRDefault="00863634" w:rsidP="00863634">
      <w:pPr>
        <w:pStyle w:val="ListParagraph"/>
        <w:numPr>
          <w:ilvl w:val="1"/>
          <w:numId w:val="6"/>
        </w:numPr>
        <w:autoSpaceDE w:val="0"/>
        <w:autoSpaceDN w:val="0"/>
        <w:adjustRightInd w:val="0"/>
      </w:pPr>
      <w:r w:rsidRPr="00C46AC5">
        <w:t>Ensure IPE meets ACPE accreditation requirements as well as assist other health programs with IPE accreditation requirements.</w:t>
      </w:r>
    </w:p>
    <w:p w14:paraId="3C925A3A" w14:textId="77777777" w:rsidR="00863634" w:rsidRPr="00C46AC5" w:rsidRDefault="00863634" w:rsidP="00863634">
      <w:pPr>
        <w:pStyle w:val="ListParagraph"/>
        <w:numPr>
          <w:ilvl w:val="1"/>
          <w:numId w:val="6"/>
        </w:numPr>
        <w:autoSpaceDE w:val="0"/>
        <w:autoSpaceDN w:val="0"/>
        <w:adjustRightInd w:val="0"/>
      </w:pPr>
      <w:r w:rsidRPr="00C46AC5">
        <w:t>Assume responsibility for budgeting, financial oversight and financial reporting</w:t>
      </w:r>
    </w:p>
    <w:p w14:paraId="559C40BB" w14:textId="77777777" w:rsidR="00863634" w:rsidRPr="00624CCA" w:rsidRDefault="00863634" w:rsidP="00863634">
      <w:pPr>
        <w:pStyle w:val="ListParagraph"/>
        <w:numPr>
          <w:ilvl w:val="1"/>
          <w:numId w:val="6"/>
        </w:numPr>
        <w:autoSpaceDE w:val="0"/>
        <w:autoSpaceDN w:val="0"/>
        <w:adjustRightInd w:val="0"/>
      </w:pPr>
      <w:r w:rsidRPr="00C46AC5">
        <w:t xml:space="preserve">Serve as the liaison between the College of Pharmacy and its partner schools/colleges and programs, as well as external organizations (AACP, </w:t>
      </w:r>
      <w:r w:rsidRPr="00C46AC5">
        <w:lastRenderedPageBreak/>
        <w:t>IPEC, etc.) to accomplish the strategic goals and objectives of the IPE Program.</w:t>
      </w:r>
      <w:r w:rsidRPr="00624CCA">
        <w:rPr>
          <w:rFonts w:ascii="Arial" w:hAnsi="Arial" w:cs="Arial"/>
          <w:color w:val="000000"/>
          <w:shd w:val="clear" w:color="auto" w:fill="FFFFFF"/>
        </w:rPr>
        <w:t xml:space="preserve"> </w:t>
      </w:r>
    </w:p>
    <w:p w14:paraId="666C21B8" w14:textId="77777777" w:rsidR="00863634" w:rsidRPr="00C46AC5" w:rsidRDefault="00863634" w:rsidP="00863634">
      <w:pPr>
        <w:pStyle w:val="ListParagraph"/>
        <w:numPr>
          <w:ilvl w:val="1"/>
          <w:numId w:val="6"/>
        </w:numPr>
        <w:autoSpaceDE w:val="0"/>
        <w:autoSpaceDN w:val="0"/>
        <w:adjustRightInd w:val="0"/>
      </w:pPr>
      <w:r w:rsidRPr="00624CCA">
        <w:t>Serve as Ex Officio member of the Co-College IPE committee </w:t>
      </w:r>
    </w:p>
    <w:p w14:paraId="5D567D3D" w14:textId="77777777" w:rsidR="00863634" w:rsidRPr="00C46AC5" w:rsidRDefault="00863634" w:rsidP="00863634">
      <w:pPr>
        <w:pStyle w:val="ListParagraph"/>
        <w:numPr>
          <w:ilvl w:val="0"/>
          <w:numId w:val="6"/>
        </w:numPr>
        <w:autoSpaceDE w:val="0"/>
        <w:autoSpaceDN w:val="0"/>
        <w:adjustRightInd w:val="0"/>
      </w:pPr>
      <w:r w:rsidRPr="00C46AC5">
        <w:t>Responsible for comprehensive programmatic delivery of the Personal Growth and Development (PGD) Course series</w:t>
      </w:r>
    </w:p>
    <w:p w14:paraId="5A0F6E7E" w14:textId="77777777" w:rsidR="00863634" w:rsidRPr="00C46AC5" w:rsidRDefault="00863634" w:rsidP="00863634">
      <w:pPr>
        <w:pStyle w:val="ListParagraph"/>
        <w:numPr>
          <w:ilvl w:val="1"/>
          <w:numId w:val="6"/>
        </w:numPr>
        <w:autoSpaceDE w:val="0"/>
        <w:autoSpaceDN w:val="0"/>
        <w:adjustRightInd w:val="0"/>
      </w:pPr>
      <w:r w:rsidRPr="00C46AC5">
        <w:t xml:space="preserve">Oversee the six-semester PGD course series. </w:t>
      </w:r>
    </w:p>
    <w:p w14:paraId="1D0EAFBE" w14:textId="77777777" w:rsidR="00863634" w:rsidRPr="00C46AC5" w:rsidRDefault="00863634" w:rsidP="00863634">
      <w:pPr>
        <w:pStyle w:val="ListParagraph"/>
        <w:numPr>
          <w:ilvl w:val="1"/>
          <w:numId w:val="6"/>
        </w:numPr>
        <w:autoSpaceDE w:val="0"/>
        <w:autoSpaceDN w:val="0"/>
        <w:adjustRightInd w:val="0"/>
      </w:pPr>
      <w:r w:rsidRPr="00C46AC5">
        <w:t>Collaborate with the Curriculum Committee to integrate PGD and IPE across all years of the program.</w:t>
      </w:r>
    </w:p>
    <w:p w14:paraId="5778C8F0" w14:textId="77777777" w:rsidR="00863634" w:rsidRPr="00C46AC5" w:rsidRDefault="00863634" w:rsidP="00863634">
      <w:pPr>
        <w:pStyle w:val="ListParagraph"/>
        <w:numPr>
          <w:ilvl w:val="1"/>
          <w:numId w:val="6"/>
        </w:numPr>
        <w:autoSpaceDE w:val="0"/>
        <w:autoSpaceDN w:val="0"/>
        <w:adjustRightInd w:val="0"/>
      </w:pPr>
      <w:r w:rsidRPr="00C46AC5">
        <w:t>Approve course syllabi and schedules for PGD/IPE.</w:t>
      </w:r>
    </w:p>
    <w:p w14:paraId="4FC192E0" w14:textId="77777777" w:rsidR="00863634" w:rsidRPr="00C46AC5" w:rsidRDefault="00863634" w:rsidP="00863634">
      <w:pPr>
        <w:numPr>
          <w:ilvl w:val="0"/>
          <w:numId w:val="6"/>
        </w:numPr>
        <w:spacing w:before="100" w:beforeAutospacing="1" w:after="100" w:afterAutospacing="1"/>
      </w:pPr>
      <w:r w:rsidRPr="00C46AC5">
        <w:t>Work with School Directors to ensure coverage for all course coordination, lecture topics, and PGD and IPE activities.</w:t>
      </w:r>
    </w:p>
    <w:p w14:paraId="502C8699" w14:textId="77777777" w:rsidR="00863634" w:rsidRPr="00C46AC5" w:rsidRDefault="00863634" w:rsidP="00863634">
      <w:pPr>
        <w:numPr>
          <w:ilvl w:val="0"/>
          <w:numId w:val="6"/>
        </w:numPr>
        <w:spacing w:before="100" w:beforeAutospacing="1" w:after="100" w:afterAutospacing="1"/>
      </w:pPr>
      <w:r w:rsidRPr="00C46AC5">
        <w:t>Foster collaboration across schools, departments, and with external partners (e.g., CHS, VCOM).</w:t>
      </w:r>
    </w:p>
    <w:p w14:paraId="573472A6" w14:textId="77777777" w:rsidR="00863634" w:rsidRPr="00C46AC5" w:rsidRDefault="00863634" w:rsidP="00863634">
      <w:pPr>
        <w:numPr>
          <w:ilvl w:val="0"/>
          <w:numId w:val="6"/>
        </w:numPr>
        <w:spacing w:before="100" w:beforeAutospacing="1" w:after="100" w:afterAutospacing="1"/>
      </w:pPr>
      <w:r w:rsidRPr="00C46AC5">
        <w:t>Partner with the Director of Assessment to map PGD and IPE outcomes to program competencies and accreditation requirements.</w:t>
      </w:r>
    </w:p>
    <w:p w14:paraId="121F26B2" w14:textId="77777777" w:rsidR="00863634" w:rsidRPr="00C46AC5" w:rsidRDefault="00863634" w:rsidP="00863634">
      <w:pPr>
        <w:numPr>
          <w:ilvl w:val="0"/>
          <w:numId w:val="6"/>
        </w:numPr>
        <w:spacing w:before="100" w:beforeAutospacing="1" w:after="100" w:afterAutospacing="1"/>
      </w:pPr>
      <w:r w:rsidRPr="00C46AC5">
        <w:t>Lead efforts to maintain compliance with all ACPE accreditation standards.</w:t>
      </w:r>
    </w:p>
    <w:p w14:paraId="501C2CB7" w14:textId="77777777" w:rsidR="00863634" w:rsidRPr="00C46AC5" w:rsidRDefault="00863634" w:rsidP="00863634">
      <w:pPr>
        <w:numPr>
          <w:ilvl w:val="0"/>
          <w:numId w:val="6"/>
        </w:numPr>
        <w:spacing w:before="100" w:beforeAutospacing="1" w:after="100" w:afterAutospacing="1"/>
      </w:pPr>
      <w:r w:rsidRPr="00C46AC5">
        <w:t>Represent the PharmD program in accreditation self-studies, site visits, and external reviews.</w:t>
      </w:r>
    </w:p>
    <w:p w14:paraId="63EC4F35" w14:textId="77777777" w:rsidR="00863634" w:rsidRPr="00C46AC5" w:rsidRDefault="00863634" w:rsidP="00863634">
      <w:pPr>
        <w:numPr>
          <w:ilvl w:val="0"/>
          <w:numId w:val="6"/>
        </w:numPr>
        <w:spacing w:before="100" w:beforeAutospacing="1" w:after="100" w:afterAutospacing="1"/>
      </w:pPr>
      <w:r w:rsidRPr="00C46AC5">
        <w:t>Monitor and implement best practices in pharmacy education and professional development</w:t>
      </w:r>
    </w:p>
    <w:p w14:paraId="72A3D3EC" w14:textId="77777777" w:rsidR="002D7AE4" w:rsidRPr="003C6653" w:rsidRDefault="002D7AE4"/>
    <w:p w14:paraId="6C13B0D2" w14:textId="30A8EF80" w:rsidR="00337FF3" w:rsidRPr="003C6653" w:rsidRDefault="153C77F0" w:rsidP="309ABA80">
      <w:pPr>
        <w:shd w:val="clear" w:color="auto" w:fill="E0E0E0"/>
        <w:rPr>
          <w:b/>
          <w:bCs/>
        </w:rPr>
      </w:pPr>
      <w:r w:rsidRPr="309ABA80">
        <w:rPr>
          <w:b/>
          <w:bCs/>
        </w:rPr>
        <w:t>General Expectations</w:t>
      </w:r>
    </w:p>
    <w:p w14:paraId="7BDE8CD1" w14:textId="228F20ED" w:rsidR="00337FF3" w:rsidRPr="00434A56" w:rsidRDefault="00434A56" w:rsidP="5EC1A355">
      <w:pPr>
        <w:pStyle w:val="ListParagraph"/>
        <w:numPr>
          <w:ilvl w:val="0"/>
          <w:numId w:val="1"/>
        </w:numPr>
        <w:rPr>
          <w:color w:val="000000" w:themeColor="text1"/>
        </w:rPr>
      </w:pPr>
      <w:r>
        <w:rPr>
          <w:color w:val="000000" w:themeColor="text1"/>
        </w:rPr>
        <w:t>Model leadership, professionalism, and effective communication in alignment with College expectations.</w:t>
      </w:r>
    </w:p>
    <w:p w14:paraId="4BD9050A" w14:textId="278DD48C" w:rsidR="00337FF3" w:rsidRPr="003C6653" w:rsidRDefault="153C77F0" w:rsidP="309ABA80">
      <w:pPr>
        <w:pStyle w:val="ListParagraph"/>
        <w:numPr>
          <w:ilvl w:val="0"/>
          <w:numId w:val="1"/>
        </w:numPr>
        <w:rPr>
          <w:color w:val="000000" w:themeColor="text1"/>
        </w:rPr>
      </w:pPr>
      <w:r w:rsidRPr="309ABA80">
        <w:rPr>
          <w:color w:val="000000" w:themeColor="text1"/>
        </w:rPr>
        <w:t>Play facilitating role in team meetings to encourage other team members to participate.</w:t>
      </w:r>
    </w:p>
    <w:p w14:paraId="43FFFF61" w14:textId="7A871945" w:rsidR="00337FF3" w:rsidRPr="003C6653" w:rsidRDefault="153C77F0" w:rsidP="309ABA80">
      <w:pPr>
        <w:pStyle w:val="ListParagraph"/>
        <w:numPr>
          <w:ilvl w:val="0"/>
          <w:numId w:val="1"/>
        </w:numPr>
        <w:rPr>
          <w:color w:val="000000" w:themeColor="text1"/>
        </w:rPr>
      </w:pPr>
      <w:r w:rsidRPr="309ABA80">
        <w:rPr>
          <w:color w:val="000000" w:themeColor="text1"/>
        </w:rPr>
        <w:t xml:space="preserve">Perform individual and team-assigned work/responsibilities on time and to standards. </w:t>
      </w:r>
    </w:p>
    <w:p w14:paraId="0D0B940D" w14:textId="4728D01F" w:rsidR="00337FF3" w:rsidRPr="003C6653" w:rsidRDefault="153C77F0" w:rsidP="309ABA80">
      <w:pPr>
        <w:pStyle w:val="ListParagraph"/>
        <w:numPr>
          <w:ilvl w:val="0"/>
          <w:numId w:val="1"/>
        </w:numPr>
        <w:rPr>
          <w:color w:val="000000" w:themeColor="text1"/>
        </w:rPr>
      </w:pPr>
      <w:r w:rsidRPr="309ABA80">
        <w:rPr>
          <w:color w:val="000000" w:themeColor="text1"/>
        </w:rPr>
        <w:t xml:space="preserve">Respond to </w:t>
      </w:r>
      <w:r w:rsidR="00434A56">
        <w:rPr>
          <w:color w:val="000000" w:themeColor="text1"/>
        </w:rPr>
        <w:t>stakeholder and colleague requests in a timely manner.</w:t>
      </w:r>
    </w:p>
    <w:p w14:paraId="6CAEE057" w14:textId="7981CA49" w:rsidR="309ABA80" w:rsidRDefault="309ABA80" w:rsidP="309ABA80"/>
    <w:p w14:paraId="0346C24D" w14:textId="77777777" w:rsidR="00337FF3" w:rsidRPr="003C6653" w:rsidRDefault="000512EC" w:rsidP="00337FF3">
      <w:pPr>
        <w:shd w:val="clear" w:color="auto" w:fill="E0E0E0"/>
        <w:rPr>
          <w:b/>
        </w:rPr>
      </w:pPr>
      <w:r>
        <w:rPr>
          <w:b/>
        </w:rPr>
        <w:t xml:space="preserve">Minimum </w:t>
      </w:r>
      <w:r w:rsidR="00337FF3" w:rsidRPr="003C6653">
        <w:rPr>
          <w:b/>
        </w:rPr>
        <w:t>Qualifications/Requirements</w:t>
      </w:r>
    </w:p>
    <w:p w14:paraId="247C027B" w14:textId="6B70343F" w:rsidR="00337FF3" w:rsidRDefault="004A3E3D" w:rsidP="00337FF3">
      <w:r>
        <w:t>Have an earned professional pharmacy degree (required) and a terminal degree if the professional degree is not the Doctor of Pharmacy Degree.  Documented accomplishments in teaching, research, and service at a level to be appointed as a tenured professor/associate professor in one of the academic departments of the College of Pharmacy</w:t>
      </w:r>
    </w:p>
    <w:p w14:paraId="4A914BBA" w14:textId="77777777" w:rsidR="00863634" w:rsidRDefault="00863634" w:rsidP="00337FF3"/>
    <w:p w14:paraId="252C1D6F" w14:textId="77777777" w:rsidR="00863634" w:rsidRPr="00C46AC5" w:rsidRDefault="00863634" w:rsidP="00863634">
      <w:pPr>
        <w:autoSpaceDE w:val="0"/>
        <w:autoSpaceDN w:val="0"/>
        <w:adjustRightInd w:val="0"/>
      </w:pPr>
      <w:r w:rsidRPr="00C46AC5">
        <w:rPr>
          <w:b/>
          <w:bCs/>
        </w:rPr>
        <w:t>Language Skills</w:t>
      </w:r>
      <w:r w:rsidRPr="00C46AC5">
        <w:t>: Excellent written and verbal communication skills. Ability to read, analyze</w:t>
      </w:r>
    </w:p>
    <w:p w14:paraId="2872047E" w14:textId="77777777" w:rsidR="00863634" w:rsidRPr="00C46AC5" w:rsidRDefault="00863634" w:rsidP="00863634">
      <w:pPr>
        <w:autoSpaceDE w:val="0"/>
        <w:autoSpaceDN w:val="0"/>
        <w:adjustRightInd w:val="0"/>
      </w:pPr>
      <w:r w:rsidRPr="00C46AC5">
        <w:t>and interpret common scientific and technical journals, financial reports, and legal documents.</w:t>
      </w:r>
    </w:p>
    <w:p w14:paraId="39230F18" w14:textId="77777777" w:rsidR="00863634" w:rsidRPr="00C46AC5" w:rsidRDefault="00863634" w:rsidP="00863634">
      <w:pPr>
        <w:autoSpaceDE w:val="0"/>
        <w:autoSpaceDN w:val="0"/>
        <w:adjustRightInd w:val="0"/>
      </w:pPr>
      <w:r w:rsidRPr="00C46AC5">
        <w:t>Ability to respond to common inquires or complaints from customers, regulatory agencies,</w:t>
      </w:r>
    </w:p>
    <w:p w14:paraId="1106E3D6" w14:textId="77777777" w:rsidR="00863634" w:rsidRPr="00C46AC5" w:rsidRDefault="00863634" w:rsidP="00863634">
      <w:pPr>
        <w:autoSpaceDE w:val="0"/>
        <w:autoSpaceDN w:val="0"/>
        <w:adjustRightInd w:val="0"/>
      </w:pPr>
      <w:r w:rsidRPr="00C46AC5">
        <w:t>faculty, staff, students, and members of the profession of pharmacy and other business entities.</w:t>
      </w:r>
    </w:p>
    <w:p w14:paraId="505F5398" w14:textId="77777777" w:rsidR="00863634" w:rsidRPr="00C46AC5" w:rsidRDefault="00863634" w:rsidP="00863634">
      <w:pPr>
        <w:autoSpaceDE w:val="0"/>
        <w:autoSpaceDN w:val="0"/>
        <w:adjustRightInd w:val="0"/>
      </w:pPr>
      <w:r w:rsidRPr="00C46AC5">
        <w:t>Ability to write speeches and articles for publication that conform to prescribed style and format. Ability to effectively present information to individuals at all levels, ranging from children to members of boards of director and legislators.</w:t>
      </w:r>
    </w:p>
    <w:p w14:paraId="7416D9AA" w14:textId="77777777" w:rsidR="00863634" w:rsidRPr="00C46AC5" w:rsidRDefault="00863634" w:rsidP="00863634">
      <w:pPr>
        <w:autoSpaceDE w:val="0"/>
        <w:autoSpaceDN w:val="0"/>
        <w:adjustRightInd w:val="0"/>
      </w:pPr>
    </w:p>
    <w:p w14:paraId="2BA93ABB" w14:textId="77777777" w:rsidR="00863634" w:rsidRPr="00C46AC5" w:rsidRDefault="00863634" w:rsidP="00863634">
      <w:pPr>
        <w:autoSpaceDE w:val="0"/>
        <w:autoSpaceDN w:val="0"/>
        <w:adjustRightInd w:val="0"/>
      </w:pPr>
      <w:r w:rsidRPr="00C46AC5">
        <w:rPr>
          <w:b/>
          <w:bCs/>
        </w:rPr>
        <w:t>Reasoning Abilities</w:t>
      </w:r>
      <w:r w:rsidRPr="00C46AC5">
        <w:t>: Ability to define problems, collect data, establish facts and draw valid</w:t>
      </w:r>
    </w:p>
    <w:p w14:paraId="163EE809" w14:textId="77777777" w:rsidR="00863634" w:rsidRPr="00C46AC5" w:rsidRDefault="00863634" w:rsidP="00863634">
      <w:pPr>
        <w:autoSpaceDE w:val="0"/>
        <w:autoSpaceDN w:val="0"/>
        <w:adjustRightInd w:val="0"/>
      </w:pPr>
      <w:r w:rsidRPr="00C46AC5">
        <w:t>conclusions to solve problems and plan initiatives. Ability to interpret an extensive variety of</w:t>
      </w:r>
    </w:p>
    <w:p w14:paraId="06585B6B" w14:textId="77777777" w:rsidR="00863634" w:rsidRPr="00C46AC5" w:rsidRDefault="00863634" w:rsidP="00863634">
      <w:pPr>
        <w:autoSpaceDE w:val="0"/>
        <w:autoSpaceDN w:val="0"/>
        <w:adjustRightInd w:val="0"/>
      </w:pPr>
      <w:r w:rsidRPr="00C46AC5">
        <w:t>technical instructions in mathematical or diagram form and deal with various abstract and</w:t>
      </w:r>
    </w:p>
    <w:p w14:paraId="06B7C98D" w14:textId="77777777" w:rsidR="00863634" w:rsidRPr="00C46AC5" w:rsidRDefault="00863634" w:rsidP="00863634">
      <w:pPr>
        <w:autoSpaceDE w:val="0"/>
        <w:autoSpaceDN w:val="0"/>
        <w:adjustRightInd w:val="0"/>
      </w:pPr>
      <w:r w:rsidRPr="00C46AC5">
        <w:t>concrete variables.</w:t>
      </w:r>
    </w:p>
    <w:p w14:paraId="53BBEA1B" w14:textId="77777777" w:rsidR="00863634" w:rsidRPr="00C46AC5" w:rsidRDefault="00863634" w:rsidP="00863634">
      <w:pPr>
        <w:autoSpaceDE w:val="0"/>
        <w:autoSpaceDN w:val="0"/>
        <w:adjustRightInd w:val="0"/>
        <w:rPr>
          <w:b/>
          <w:bCs/>
        </w:rPr>
      </w:pPr>
    </w:p>
    <w:p w14:paraId="6B10FD60" w14:textId="77777777" w:rsidR="00863634" w:rsidRPr="00C46AC5" w:rsidRDefault="00863634" w:rsidP="00863634">
      <w:pPr>
        <w:autoSpaceDE w:val="0"/>
        <w:autoSpaceDN w:val="0"/>
        <w:adjustRightInd w:val="0"/>
      </w:pPr>
      <w:r w:rsidRPr="00C46AC5">
        <w:rPr>
          <w:b/>
          <w:bCs/>
        </w:rPr>
        <w:t>Other Qualifications</w:t>
      </w:r>
      <w:r w:rsidRPr="00C46AC5">
        <w:t>: Demonstrated ethical behavior, professionalism, interpersonal skills,</w:t>
      </w:r>
    </w:p>
    <w:p w14:paraId="05D5377A" w14:textId="77777777" w:rsidR="00863634" w:rsidRPr="00C46AC5" w:rsidRDefault="00863634" w:rsidP="00863634">
      <w:pPr>
        <w:autoSpaceDE w:val="0"/>
        <w:autoSpaceDN w:val="0"/>
        <w:adjustRightInd w:val="0"/>
      </w:pPr>
      <w:r w:rsidRPr="00C46AC5">
        <w:t>leadership and management abilities sufficient to effectively direct the support staff. Imminent</w:t>
      </w:r>
    </w:p>
    <w:p w14:paraId="5FBDF080" w14:textId="77777777" w:rsidR="00863634" w:rsidRPr="00C46AC5" w:rsidRDefault="00863634" w:rsidP="00863634">
      <w:pPr>
        <w:autoSpaceDE w:val="0"/>
        <w:autoSpaceDN w:val="0"/>
        <w:adjustRightInd w:val="0"/>
      </w:pPr>
      <w:r w:rsidRPr="00C46AC5">
        <w:t>knowledge of current professional trends in pharmacy, and general knowledge of current trends</w:t>
      </w:r>
    </w:p>
    <w:p w14:paraId="14C04CA6" w14:textId="77777777" w:rsidR="00863634" w:rsidRPr="00C46AC5" w:rsidRDefault="00863634" w:rsidP="00863634">
      <w:pPr>
        <w:autoSpaceDE w:val="0"/>
        <w:autoSpaceDN w:val="0"/>
        <w:adjustRightInd w:val="0"/>
      </w:pPr>
      <w:r w:rsidRPr="00C46AC5">
        <w:t>in the pharmacy practice relating as they relate to curricular aspects of the college. Knowledge of current trends in outcomes assessment strategies. Utility of these knowledge bases to relate</w:t>
      </w:r>
    </w:p>
    <w:p w14:paraId="3049303B" w14:textId="77777777" w:rsidR="00863634" w:rsidRPr="00C46AC5" w:rsidRDefault="00863634" w:rsidP="00863634">
      <w:pPr>
        <w:autoSpaceDE w:val="0"/>
        <w:autoSpaceDN w:val="0"/>
        <w:adjustRightInd w:val="0"/>
      </w:pPr>
      <w:r w:rsidRPr="00C46AC5">
        <w:t>curricular aspects of the program to outcomes assessment. Detailed working knowledge of</w:t>
      </w:r>
    </w:p>
    <w:p w14:paraId="1A4005D3" w14:textId="02CC1C8E" w:rsidR="00863634" w:rsidRPr="003C6653" w:rsidRDefault="00863634" w:rsidP="00863634">
      <w:r w:rsidRPr="00C46AC5">
        <w:t>accreditation standards as they relate to pharmacy education</w:t>
      </w:r>
    </w:p>
    <w:p w14:paraId="0E27B00A" w14:textId="77777777" w:rsidR="005F590B" w:rsidRPr="003C6653" w:rsidRDefault="005F590B" w:rsidP="00337FF3"/>
    <w:p w14:paraId="6775E0C5" w14:textId="77777777" w:rsidR="002D7AE4" w:rsidRPr="003C6653" w:rsidRDefault="002D7AE4">
      <w:pPr>
        <w:shd w:val="clear" w:color="auto" w:fill="E0E0E0"/>
      </w:pPr>
      <w:r w:rsidRPr="003C6653">
        <w:rPr>
          <w:b/>
        </w:rPr>
        <w:t>Working conditions</w:t>
      </w:r>
    </w:p>
    <w:p w14:paraId="5D1152AB" w14:textId="77777777" w:rsidR="00863634" w:rsidRPr="00C46AC5" w:rsidRDefault="00863634" w:rsidP="00863634">
      <w:pPr>
        <w:autoSpaceDE w:val="0"/>
        <w:autoSpaceDN w:val="0"/>
        <w:adjustRightInd w:val="0"/>
      </w:pPr>
      <w:r w:rsidRPr="00C46AC5">
        <w:t>Normal job functions performed within a standard office environment.</w:t>
      </w:r>
    </w:p>
    <w:p w14:paraId="7C9D59B0" w14:textId="77777777" w:rsidR="00863634" w:rsidRPr="00C46AC5" w:rsidRDefault="00863634" w:rsidP="00863634">
      <w:pPr>
        <w:autoSpaceDE w:val="0"/>
        <w:autoSpaceDN w:val="0"/>
        <w:adjustRightInd w:val="0"/>
      </w:pPr>
      <w:r w:rsidRPr="00C46AC5">
        <w:t>Exposure to clinical patient care and/or research laboratories is likely. Reasonable</w:t>
      </w:r>
    </w:p>
    <w:p w14:paraId="3B86A089" w14:textId="77777777" w:rsidR="00863634" w:rsidRPr="00C46AC5" w:rsidRDefault="00863634" w:rsidP="00863634">
      <w:pPr>
        <w:autoSpaceDE w:val="0"/>
        <w:autoSpaceDN w:val="0"/>
        <w:adjustRightInd w:val="0"/>
      </w:pPr>
      <w:r w:rsidRPr="00C46AC5">
        <w:t>accommodations may be made to enable individuals with disabilities to perform the essential</w:t>
      </w:r>
    </w:p>
    <w:p w14:paraId="36C97B51" w14:textId="77777777" w:rsidR="00863634" w:rsidRPr="00C46AC5" w:rsidRDefault="00863634" w:rsidP="00863634">
      <w:pPr>
        <w:autoSpaceDE w:val="0"/>
        <w:autoSpaceDN w:val="0"/>
        <w:adjustRightInd w:val="0"/>
      </w:pPr>
      <w:r w:rsidRPr="00C46AC5">
        <w:t>functions.</w:t>
      </w:r>
    </w:p>
    <w:p w14:paraId="60061E4C" w14:textId="77777777" w:rsidR="005F590B" w:rsidRPr="003C6653" w:rsidRDefault="005F590B"/>
    <w:p w14:paraId="2DF33982" w14:textId="77777777" w:rsidR="002D7AE4" w:rsidRPr="003C6653" w:rsidRDefault="002D7AE4">
      <w:pPr>
        <w:shd w:val="clear" w:color="auto" w:fill="E0E0E0"/>
        <w:rPr>
          <w:b/>
        </w:rPr>
      </w:pPr>
      <w:r w:rsidRPr="003C6653">
        <w:rPr>
          <w:b/>
        </w:rPr>
        <w:t>Physical requirements</w:t>
      </w:r>
    </w:p>
    <w:p w14:paraId="3DEEC669" w14:textId="4446D334" w:rsidR="004A3E3D" w:rsidRPr="003C6653" w:rsidRDefault="004A3E3D">
      <w:r>
        <w:t>N/A</w:t>
      </w:r>
    </w:p>
    <w:p w14:paraId="314E9429" w14:textId="77777777" w:rsidR="002D7AE4" w:rsidRPr="003C6653" w:rsidRDefault="002D7AE4">
      <w:pPr>
        <w:shd w:val="clear" w:color="auto" w:fill="E0E0E0"/>
        <w:rPr>
          <w:b/>
        </w:rPr>
      </w:pPr>
      <w:r w:rsidRPr="003C6653">
        <w:rPr>
          <w:b/>
        </w:rPr>
        <w:t>Direct reports</w:t>
      </w:r>
    </w:p>
    <w:p w14:paraId="05CC42AA" w14:textId="0BDE5CCE" w:rsidR="00DE6BD6" w:rsidRDefault="00863634" w:rsidP="00863634">
      <w:r>
        <w:t>N/A</w:t>
      </w:r>
    </w:p>
    <w:p w14:paraId="45FB0818" w14:textId="77777777" w:rsidR="002D7AE4" w:rsidRPr="003C6653" w:rsidRDefault="002D7AE4">
      <w:pPr>
        <w:pBdr>
          <w:bottom w:val="single" w:sz="12" w:space="1" w:color="auto"/>
        </w:pBdr>
      </w:pPr>
    </w:p>
    <w:p w14:paraId="049F31CB" w14:textId="77777777" w:rsidR="002D7AE4" w:rsidRPr="00A51435" w:rsidRDefault="002D7AE4">
      <w:pPr>
        <w:rPr>
          <w:rFonts w:ascii="Georgia" w:hAnsi="Georgia" w:cs="Arial"/>
          <w:sz w:val="20"/>
        </w:rPr>
      </w:pPr>
    </w:p>
    <w:tbl>
      <w:tblPr>
        <w:tblStyle w:val="TableGrid"/>
        <w:tblW w:w="0" w:type="auto"/>
        <w:tblLook w:val="01E0" w:firstRow="1" w:lastRow="1" w:firstColumn="1" w:lastColumn="1" w:noHBand="0" w:noVBand="0"/>
      </w:tblPr>
      <w:tblGrid>
        <w:gridCol w:w="2061"/>
        <w:gridCol w:w="6569"/>
      </w:tblGrid>
      <w:tr w:rsidR="002D7AE4" w:rsidRPr="00A51435" w14:paraId="3A749DDB" w14:textId="77777777" w:rsidTr="00CC3BDF">
        <w:tc>
          <w:tcPr>
            <w:tcW w:w="2090" w:type="dxa"/>
          </w:tcPr>
          <w:p w14:paraId="19D35CC3" w14:textId="77777777" w:rsidR="002D7AE4" w:rsidRPr="003C6653" w:rsidRDefault="002D7AE4" w:rsidP="003A4B69">
            <w:pPr>
              <w:rPr>
                <w:b/>
              </w:rPr>
            </w:pPr>
            <w:r w:rsidRPr="003C6653">
              <w:rPr>
                <w:b/>
              </w:rPr>
              <w:t>Approved by:</w:t>
            </w:r>
          </w:p>
        </w:tc>
        <w:tc>
          <w:tcPr>
            <w:tcW w:w="6772" w:type="dxa"/>
          </w:tcPr>
          <w:p w14:paraId="2066DD3F" w14:textId="736A07C3" w:rsidR="00B803E7" w:rsidRDefault="007108EF">
            <w:pPr>
              <w:ind w:left="72"/>
            </w:pPr>
            <w:r>
              <w:t>Gina Craft, Interim Dean</w:t>
            </w:r>
          </w:p>
          <w:p w14:paraId="09AB0D02" w14:textId="7852ED4F" w:rsidR="007108EF" w:rsidRPr="007828D3" w:rsidRDefault="007108EF">
            <w:pPr>
              <w:ind w:left="72"/>
            </w:pPr>
          </w:p>
        </w:tc>
      </w:tr>
      <w:tr w:rsidR="002D7AE4" w:rsidRPr="00A51435" w14:paraId="5FE1AB57" w14:textId="77777777" w:rsidTr="00CC3BDF">
        <w:trPr>
          <w:trHeight w:val="404"/>
        </w:trPr>
        <w:tc>
          <w:tcPr>
            <w:tcW w:w="2090" w:type="dxa"/>
          </w:tcPr>
          <w:p w14:paraId="04A83027" w14:textId="77777777" w:rsidR="002D7AE4" w:rsidRPr="003C6653" w:rsidRDefault="002D7AE4" w:rsidP="003A4B69">
            <w:r w:rsidRPr="003C6653">
              <w:rPr>
                <w:b/>
              </w:rPr>
              <w:t>Date approved:</w:t>
            </w:r>
          </w:p>
        </w:tc>
        <w:tc>
          <w:tcPr>
            <w:tcW w:w="6772" w:type="dxa"/>
          </w:tcPr>
          <w:p w14:paraId="3F871A04" w14:textId="1859B155" w:rsidR="002D7AE4" w:rsidRPr="007828D3" w:rsidRDefault="002D7AE4" w:rsidP="003A4B69">
            <w:pPr>
              <w:ind w:left="72"/>
            </w:pPr>
          </w:p>
        </w:tc>
      </w:tr>
      <w:tr w:rsidR="002D7AE4" w:rsidRPr="00A51435" w14:paraId="6EE44F6E" w14:textId="77777777" w:rsidTr="00CC3BDF">
        <w:trPr>
          <w:trHeight w:val="431"/>
        </w:trPr>
        <w:tc>
          <w:tcPr>
            <w:tcW w:w="2090" w:type="dxa"/>
          </w:tcPr>
          <w:p w14:paraId="63B348AD" w14:textId="77777777" w:rsidR="002D7AE4" w:rsidRPr="003C6653" w:rsidRDefault="002D7AE4" w:rsidP="003A4B69">
            <w:r w:rsidRPr="003C6653">
              <w:rPr>
                <w:b/>
              </w:rPr>
              <w:t>Reviewed:</w:t>
            </w:r>
          </w:p>
        </w:tc>
        <w:tc>
          <w:tcPr>
            <w:tcW w:w="6772" w:type="dxa"/>
          </w:tcPr>
          <w:p w14:paraId="4B99056E" w14:textId="48E5CE44" w:rsidR="002D7AE4" w:rsidRPr="007828D3" w:rsidRDefault="007108EF" w:rsidP="003A4B69">
            <w:pPr>
              <w:ind w:left="72"/>
            </w:pPr>
            <w:r>
              <w:t>3/17/26</w:t>
            </w:r>
          </w:p>
        </w:tc>
      </w:tr>
    </w:tbl>
    <w:p w14:paraId="1299C43A" w14:textId="77777777" w:rsidR="002D7AE4" w:rsidRPr="00A51435" w:rsidRDefault="002D7AE4">
      <w:pPr>
        <w:rPr>
          <w:rFonts w:ascii="Georgia" w:hAnsi="Georgia" w:cs="Arial"/>
          <w:sz w:val="20"/>
        </w:rPr>
      </w:pPr>
    </w:p>
    <w:p w14:paraId="0304C418" w14:textId="77777777" w:rsidR="00A51435" w:rsidRDefault="003A4B69" w:rsidP="004A3E3D">
      <w:pPr>
        <w:jc w:val="center"/>
        <w:rPr>
          <w:rFonts w:ascii="Georgia" w:hAnsi="Georgia" w:cs="Arial"/>
          <w:i/>
          <w:sz w:val="20"/>
        </w:rPr>
      </w:pPr>
      <w:r>
        <w:rPr>
          <w:rFonts w:ascii="Georgia" w:hAnsi="Georgia" w:cs="Arial"/>
          <w:i/>
          <w:sz w:val="20"/>
        </w:rPr>
        <w:t>J</w:t>
      </w:r>
      <w:r w:rsidR="002D7AE4" w:rsidRPr="00A51435">
        <w:rPr>
          <w:rFonts w:ascii="Georgia" w:hAnsi="Georgia" w:cs="Arial"/>
          <w:i/>
          <w:sz w:val="20"/>
        </w:rPr>
        <w:t>ob description should be reviewed annually and updated as often as necessary.</w:t>
      </w:r>
      <w:r w:rsidR="004A3E3D">
        <w:rPr>
          <w:rFonts w:ascii="Georgia" w:hAnsi="Georgia" w:cs="Arial"/>
          <w:i/>
          <w:sz w:val="20"/>
        </w:rPr>
        <w:t xml:space="preserve"> </w:t>
      </w:r>
    </w:p>
    <w:p w14:paraId="559D7BD0" w14:textId="1F229C91" w:rsidR="00A51435" w:rsidRPr="00A51435" w:rsidRDefault="00A51435" w:rsidP="004A3E3D">
      <w:pPr>
        <w:jc w:val="center"/>
        <w:rPr>
          <w:rFonts w:ascii="Georgia" w:hAnsi="Georgia" w:cs="Arial"/>
          <w:i/>
          <w:sz w:val="20"/>
        </w:rPr>
      </w:pPr>
    </w:p>
    <w:sectPr w:rsidR="00A51435" w:rsidRPr="00A51435" w:rsidSect="00AB0FCD">
      <w:headerReference w:type="even" r:id="rId9"/>
      <w:headerReference w:type="default" r:id="rId10"/>
      <w:footerReference w:type="default" r:id="rId11"/>
      <w:footerReference w:type="first" r:id="rId12"/>
      <w:pgSz w:w="12240" w:h="15840"/>
      <w:pgMar w:top="864" w:right="1800" w:bottom="864" w:left="1800" w:header="446" w:footer="4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F0E11" w14:textId="77777777" w:rsidR="00F02565" w:rsidRDefault="00F02565">
      <w:r>
        <w:separator/>
      </w:r>
    </w:p>
  </w:endnote>
  <w:endnote w:type="continuationSeparator" w:id="0">
    <w:p w14:paraId="4B8C4891" w14:textId="77777777" w:rsidR="00F02565" w:rsidRDefault="00F0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NewRomanPSMT">
    <w:altName w:val="Times New Roman"/>
    <w:panose1 w:val="020B0604020202020204"/>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C5508" w14:textId="77777777" w:rsidR="00B34FD2" w:rsidRPr="001045A3" w:rsidRDefault="006D59AF">
    <w:pPr>
      <w:pStyle w:val="Footer"/>
      <w:rPr>
        <w:sz w:val="16"/>
        <w:szCs w:val="16"/>
      </w:rPr>
    </w:pPr>
    <w:r>
      <w:rPr>
        <w:sz w:val="16"/>
        <w:szCs w:val="16"/>
      </w:rPr>
      <w:tab/>
    </w:r>
    <w:r>
      <w:rPr>
        <w:sz w:val="16"/>
        <w:szCs w:val="16"/>
      </w:rPr>
      <w:tab/>
    </w:r>
    <w:r w:rsidR="00B34FD2" w:rsidRPr="001045A3">
      <w:rPr>
        <w:sz w:val="16"/>
        <w:szCs w:val="16"/>
      </w:rPr>
      <w:t>ULM/</w:t>
    </w:r>
    <w:r w:rsidR="00D86655">
      <w:rPr>
        <w:sz w:val="16"/>
        <w:szCs w:val="16"/>
      </w:rPr>
      <w:t>MD</w:t>
    </w:r>
    <w:r w:rsidR="00B34FD2" w:rsidRPr="001045A3">
      <w:rPr>
        <w:sz w:val="16"/>
        <w:szCs w:val="16"/>
      </w:rPr>
      <w:t>/</w:t>
    </w:r>
    <w:r w:rsidR="00A456E2">
      <w:rPr>
        <w:sz w:val="16"/>
        <w:szCs w:val="16"/>
      </w:rPr>
      <w:t>2-16-2017</w:t>
    </w:r>
  </w:p>
  <w:p w14:paraId="2946DB82" w14:textId="77777777" w:rsidR="00DA7922" w:rsidRPr="001045A3" w:rsidRDefault="00DA7922" w:rsidP="00DA7922">
    <w:pPr>
      <w:pStyle w:val="Footer"/>
      <w:tabs>
        <w:tab w:val="clear" w:pos="4320"/>
      </w:tabs>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39945" w14:textId="77777777" w:rsidR="006D59AF" w:rsidRDefault="006D59AF" w:rsidP="006D59AF">
    <w:pPr>
      <w:pStyle w:val="Footer"/>
      <w:rPr>
        <w:sz w:val="16"/>
        <w:szCs w:val="16"/>
      </w:rPr>
    </w:pPr>
  </w:p>
  <w:p w14:paraId="6C78075E" w14:textId="77777777" w:rsidR="006D59AF" w:rsidRPr="001045A3" w:rsidRDefault="006D59AF" w:rsidP="006D59AF">
    <w:pPr>
      <w:pStyle w:val="Footer"/>
      <w:rPr>
        <w:sz w:val="16"/>
        <w:szCs w:val="16"/>
      </w:rPr>
    </w:pPr>
    <w:r>
      <w:rPr>
        <w:sz w:val="16"/>
        <w:szCs w:val="16"/>
      </w:rPr>
      <w:tab/>
    </w:r>
    <w:r>
      <w:rPr>
        <w:sz w:val="16"/>
        <w:szCs w:val="16"/>
      </w:rPr>
      <w:tab/>
    </w:r>
    <w:r w:rsidR="00D86655">
      <w:rPr>
        <w:sz w:val="16"/>
        <w:szCs w:val="16"/>
      </w:rPr>
      <w:t>ULM/MD</w:t>
    </w:r>
    <w:r w:rsidRPr="001045A3">
      <w:rPr>
        <w:sz w:val="16"/>
        <w:szCs w:val="16"/>
      </w:rPr>
      <w:t>/</w:t>
    </w:r>
    <w:r w:rsidR="00D86655">
      <w:rPr>
        <w:sz w:val="16"/>
        <w:szCs w:val="16"/>
      </w:rPr>
      <w:t>9</w:t>
    </w:r>
    <w:r w:rsidRPr="001045A3">
      <w:rPr>
        <w:sz w:val="16"/>
        <w:szCs w:val="16"/>
      </w:rPr>
      <w:t>-</w:t>
    </w:r>
    <w:r w:rsidR="00D86655">
      <w:rPr>
        <w:sz w:val="16"/>
        <w:szCs w:val="16"/>
      </w:rPr>
      <w:t>21</w:t>
    </w:r>
    <w:r w:rsidRPr="001045A3">
      <w:rPr>
        <w:sz w:val="16"/>
        <w:szCs w:val="16"/>
      </w:rPr>
      <w:t>-201</w:t>
    </w:r>
    <w:r w:rsidR="00D86655">
      <w:rPr>
        <w:sz w:val="16"/>
        <w:szCs w:val="16"/>
      </w:rPr>
      <w:t>6</w:t>
    </w:r>
  </w:p>
  <w:p w14:paraId="0562CB0E" w14:textId="77777777" w:rsidR="00673E5E" w:rsidRDefault="00673E5E">
    <w:pPr>
      <w:pStyle w:val="Footer"/>
    </w:pPr>
  </w:p>
  <w:p w14:paraId="34CE0A41" w14:textId="77777777" w:rsidR="001045A3" w:rsidRDefault="001045A3" w:rsidP="006D59AF">
    <w:pPr>
      <w:pStyle w:val="Footer"/>
      <w:tabs>
        <w:tab w:val="clear" w:pos="43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66EA" w14:textId="77777777" w:rsidR="00F02565" w:rsidRDefault="00F02565">
      <w:r>
        <w:separator/>
      </w:r>
    </w:p>
  </w:footnote>
  <w:footnote w:type="continuationSeparator" w:id="0">
    <w:p w14:paraId="598FD104" w14:textId="77777777" w:rsidR="00F02565" w:rsidRDefault="00F02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DCEAD" w14:textId="77777777" w:rsidR="002D7AE4" w:rsidRDefault="0090140A">
    <w:pPr>
      <w:pStyle w:val="Header"/>
    </w:pPr>
    <w:r>
      <w:rPr>
        <w:noProof/>
      </w:rPr>
      <w:drawing>
        <wp:inline distT="0" distB="0" distL="0" distR="0" wp14:anchorId="2AEEBD07" wp14:editId="07777777">
          <wp:extent cx="1370965" cy="1370965"/>
          <wp:effectExtent l="0" t="0" r="0" b="0"/>
          <wp:docPr id="1" name="Picture 1" descr="HRToolkit_box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Toolkit_box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65" cy="13709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7CC1D" w14:textId="77777777" w:rsidR="002D7AE4" w:rsidRDefault="002D7AE4">
    <w:pPr>
      <w:pStyle w:val="Header"/>
      <w:tabs>
        <w:tab w:val="clear" w:pos="8640"/>
        <w:tab w:val="right" w:pos="9360"/>
      </w:tabs>
      <w:ind w:left="-720" w:right="-720"/>
      <w:jc w:val="right"/>
    </w:pPr>
  </w:p>
  <w:p w14:paraId="110FFD37" w14:textId="77777777" w:rsidR="002D7AE4" w:rsidRDefault="002D7AE4">
    <w:pPr>
      <w:pStyle w:val="Header"/>
      <w:tabs>
        <w:tab w:val="clear" w:pos="8640"/>
      </w:tabs>
      <w:ind w:left="-1260" w:right="-720"/>
      <w:jc w:val="right"/>
    </w:pPr>
  </w:p>
  <w:p w14:paraId="483E86B4" w14:textId="2ECAD65C" w:rsidR="002D7AE4" w:rsidRDefault="002D7AE4">
    <w:pPr>
      <w:pStyle w:val="Header"/>
      <w:tabs>
        <w:tab w:val="clear" w:pos="8640"/>
        <w:tab w:val="right" w:pos="9360"/>
      </w:tabs>
      <w:ind w:left="-1260" w:right="-720"/>
      <w:jc w:val="right"/>
      <w:rPr>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A4286"/>
    <w:multiLevelType w:val="hybridMultilevel"/>
    <w:tmpl w:val="BC7802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36F44"/>
    <w:multiLevelType w:val="hybridMultilevel"/>
    <w:tmpl w:val="BC547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6B2A24"/>
    <w:multiLevelType w:val="hybridMultilevel"/>
    <w:tmpl w:val="B4BC0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26E65D9"/>
    <w:multiLevelType w:val="hybridMultilevel"/>
    <w:tmpl w:val="78024B7A"/>
    <w:lvl w:ilvl="0" w:tplc="B498C106">
      <w:start w:val="1"/>
      <w:numFmt w:val="lowerLetter"/>
      <w:lvlText w:val="%1."/>
      <w:lvlJc w:val="left"/>
      <w:pPr>
        <w:ind w:left="1080" w:hanging="360"/>
      </w:pPr>
      <w:rPr>
        <w:rFonts w:ascii="TimesNewRomanPSMT" w:hAnsi="TimesNewRomanPSMT" w:cs="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BE33CCB"/>
    <w:multiLevelType w:val="hybridMultilevel"/>
    <w:tmpl w:val="D362E0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974A0"/>
    <w:multiLevelType w:val="hybridMultilevel"/>
    <w:tmpl w:val="00DE8570"/>
    <w:lvl w:ilvl="0" w:tplc="80F2613A">
      <w:start w:val="1"/>
      <w:numFmt w:val="bullet"/>
      <w:lvlText w:val="·"/>
      <w:lvlJc w:val="left"/>
      <w:pPr>
        <w:ind w:left="720" w:hanging="360"/>
      </w:pPr>
      <w:rPr>
        <w:rFonts w:ascii="Symbol" w:hAnsi="Symbol" w:hint="default"/>
      </w:rPr>
    </w:lvl>
    <w:lvl w:ilvl="1" w:tplc="70C01690">
      <w:start w:val="1"/>
      <w:numFmt w:val="bullet"/>
      <w:lvlText w:val="o"/>
      <w:lvlJc w:val="left"/>
      <w:pPr>
        <w:ind w:left="1440" w:hanging="360"/>
      </w:pPr>
      <w:rPr>
        <w:rFonts w:ascii="Courier New" w:hAnsi="Courier New" w:hint="default"/>
      </w:rPr>
    </w:lvl>
    <w:lvl w:ilvl="2" w:tplc="026E840C">
      <w:start w:val="1"/>
      <w:numFmt w:val="bullet"/>
      <w:lvlText w:val=""/>
      <w:lvlJc w:val="left"/>
      <w:pPr>
        <w:ind w:left="2160" w:hanging="360"/>
      </w:pPr>
      <w:rPr>
        <w:rFonts w:ascii="Wingdings" w:hAnsi="Wingdings" w:hint="default"/>
      </w:rPr>
    </w:lvl>
    <w:lvl w:ilvl="3" w:tplc="5CA6B300">
      <w:start w:val="1"/>
      <w:numFmt w:val="bullet"/>
      <w:lvlText w:val=""/>
      <w:lvlJc w:val="left"/>
      <w:pPr>
        <w:ind w:left="2880" w:hanging="360"/>
      </w:pPr>
      <w:rPr>
        <w:rFonts w:ascii="Symbol" w:hAnsi="Symbol" w:hint="default"/>
      </w:rPr>
    </w:lvl>
    <w:lvl w:ilvl="4" w:tplc="7A2450D2">
      <w:start w:val="1"/>
      <w:numFmt w:val="bullet"/>
      <w:lvlText w:val="o"/>
      <w:lvlJc w:val="left"/>
      <w:pPr>
        <w:ind w:left="3600" w:hanging="360"/>
      </w:pPr>
      <w:rPr>
        <w:rFonts w:ascii="Courier New" w:hAnsi="Courier New" w:hint="default"/>
      </w:rPr>
    </w:lvl>
    <w:lvl w:ilvl="5" w:tplc="E8303BCC">
      <w:start w:val="1"/>
      <w:numFmt w:val="bullet"/>
      <w:lvlText w:val=""/>
      <w:lvlJc w:val="left"/>
      <w:pPr>
        <w:ind w:left="4320" w:hanging="360"/>
      </w:pPr>
      <w:rPr>
        <w:rFonts w:ascii="Wingdings" w:hAnsi="Wingdings" w:hint="default"/>
      </w:rPr>
    </w:lvl>
    <w:lvl w:ilvl="6" w:tplc="5E28B628">
      <w:start w:val="1"/>
      <w:numFmt w:val="bullet"/>
      <w:lvlText w:val=""/>
      <w:lvlJc w:val="left"/>
      <w:pPr>
        <w:ind w:left="5040" w:hanging="360"/>
      </w:pPr>
      <w:rPr>
        <w:rFonts w:ascii="Symbol" w:hAnsi="Symbol" w:hint="default"/>
      </w:rPr>
    </w:lvl>
    <w:lvl w:ilvl="7" w:tplc="B00400EA">
      <w:start w:val="1"/>
      <w:numFmt w:val="bullet"/>
      <w:lvlText w:val="o"/>
      <w:lvlJc w:val="left"/>
      <w:pPr>
        <w:ind w:left="5760" w:hanging="360"/>
      </w:pPr>
      <w:rPr>
        <w:rFonts w:ascii="Courier New" w:hAnsi="Courier New" w:hint="default"/>
      </w:rPr>
    </w:lvl>
    <w:lvl w:ilvl="8" w:tplc="860E2EAC">
      <w:start w:val="1"/>
      <w:numFmt w:val="bullet"/>
      <w:lvlText w:val=""/>
      <w:lvlJc w:val="left"/>
      <w:pPr>
        <w:ind w:left="6480" w:hanging="360"/>
      </w:pPr>
      <w:rPr>
        <w:rFonts w:ascii="Wingdings" w:hAnsi="Wingdings" w:hint="default"/>
      </w:rPr>
    </w:lvl>
  </w:abstractNum>
  <w:abstractNum w:abstractNumId="6" w15:restartNumberingAfterBreak="0">
    <w:nsid w:val="652633F9"/>
    <w:multiLevelType w:val="hybridMultilevel"/>
    <w:tmpl w:val="38F098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2100655">
    <w:abstractNumId w:val="5"/>
  </w:num>
  <w:num w:numId="2" w16cid:durableId="1013994791">
    <w:abstractNumId w:val="2"/>
  </w:num>
  <w:num w:numId="3" w16cid:durableId="1262639336">
    <w:abstractNumId w:val="0"/>
  </w:num>
  <w:num w:numId="4" w16cid:durableId="739450754">
    <w:abstractNumId w:val="1"/>
  </w:num>
  <w:num w:numId="5" w16cid:durableId="1803114537">
    <w:abstractNumId w:val="4"/>
  </w:num>
  <w:num w:numId="6" w16cid:durableId="1642223455">
    <w:abstractNumId w:val="6"/>
  </w:num>
  <w:num w:numId="7" w16cid:durableId="1681161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4DF"/>
    <w:rsid w:val="0002174F"/>
    <w:rsid w:val="00030D47"/>
    <w:rsid w:val="000512EC"/>
    <w:rsid w:val="001045A3"/>
    <w:rsid w:val="001142B5"/>
    <w:rsid w:val="001175B8"/>
    <w:rsid w:val="0017464E"/>
    <w:rsid w:val="001A01E8"/>
    <w:rsid w:val="001A5E07"/>
    <w:rsid w:val="002153F6"/>
    <w:rsid w:val="0025278A"/>
    <w:rsid w:val="00256338"/>
    <w:rsid w:val="00281726"/>
    <w:rsid w:val="0029332A"/>
    <w:rsid w:val="002B2E7B"/>
    <w:rsid w:val="002D7AE4"/>
    <w:rsid w:val="002E4554"/>
    <w:rsid w:val="0031040C"/>
    <w:rsid w:val="0033777B"/>
    <w:rsid w:val="00337FF3"/>
    <w:rsid w:val="00344E05"/>
    <w:rsid w:val="00381AA0"/>
    <w:rsid w:val="003A4B69"/>
    <w:rsid w:val="003C6653"/>
    <w:rsid w:val="003E24B6"/>
    <w:rsid w:val="003E4CE8"/>
    <w:rsid w:val="00422020"/>
    <w:rsid w:val="0042469F"/>
    <w:rsid w:val="00434A56"/>
    <w:rsid w:val="00496941"/>
    <w:rsid w:val="004A3288"/>
    <w:rsid w:val="004A3E3D"/>
    <w:rsid w:val="004D7560"/>
    <w:rsid w:val="00526AD1"/>
    <w:rsid w:val="005318D5"/>
    <w:rsid w:val="005579F5"/>
    <w:rsid w:val="005D6356"/>
    <w:rsid w:val="005F590B"/>
    <w:rsid w:val="00606695"/>
    <w:rsid w:val="00615A42"/>
    <w:rsid w:val="00631E74"/>
    <w:rsid w:val="006374DF"/>
    <w:rsid w:val="006735E9"/>
    <w:rsid w:val="00673E5E"/>
    <w:rsid w:val="00677022"/>
    <w:rsid w:val="006803E6"/>
    <w:rsid w:val="006D59AF"/>
    <w:rsid w:val="007003D5"/>
    <w:rsid w:val="007108EF"/>
    <w:rsid w:val="0072576A"/>
    <w:rsid w:val="00737DBD"/>
    <w:rsid w:val="00747791"/>
    <w:rsid w:val="00767541"/>
    <w:rsid w:val="007807FA"/>
    <w:rsid w:val="007828D3"/>
    <w:rsid w:val="00784BD4"/>
    <w:rsid w:val="007A1C41"/>
    <w:rsid w:val="007A2DBE"/>
    <w:rsid w:val="007A537D"/>
    <w:rsid w:val="00800DB0"/>
    <w:rsid w:val="00850AC9"/>
    <w:rsid w:val="00863634"/>
    <w:rsid w:val="00882AC0"/>
    <w:rsid w:val="008A1E4C"/>
    <w:rsid w:val="0090140A"/>
    <w:rsid w:val="00902A4A"/>
    <w:rsid w:val="0091020C"/>
    <w:rsid w:val="00915423"/>
    <w:rsid w:val="009915EC"/>
    <w:rsid w:val="0099492E"/>
    <w:rsid w:val="009A5DE4"/>
    <w:rsid w:val="00A020D3"/>
    <w:rsid w:val="00A456E2"/>
    <w:rsid w:val="00A51435"/>
    <w:rsid w:val="00AB0FCD"/>
    <w:rsid w:val="00AE6768"/>
    <w:rsid w:val="00AF2402"/>
    <w:rsid w:val="00B07138"/>
    <w:rsid w:val="00B34FD2"/>
    <w:rsid w:val="00B51078"/>
    <w:rsid w:val="00B65948"/>
    <w:rsid w:val="00B7411B"/>
    <w:rsid w:val="00B803E7"/>
    <w:rsid w:val="00C3234C"/>
    <w:rsid w:val="00C35565"/>
    <w:rsid w:val="00C539C0"/>
    <w:rsid w:val="00C92E92"/>
    <w:rsid w:val="00CA20B9"/>
    <w:rsid w:val="00CC3BDF"/>
    <w:rsid w:val="00CD47FB"/>
    <w:rsid w:val="00D14BB6"/>
    <w:rsid w:val="00D1695B"/>
    <w:rsid w:val="00D25F89"/>
    <w:rsid w:val="00D661F6"/>
    <w:rsid w:val="00D86655"/>
    <w:rsid w:val="00D91A19"/>
    <w:rsid w:val="00D94A6C"/>
    <w:rsid w:val="00D95F6D"/>
    <w:rsid w:val="00DA7922"/>
    <w:rsid w:val="00DB180E"/>
    <w:rsid w:val="00DE5561"/>
    <w:rsid w:val="00DE6664"/>
    <w:rsid w:val="00DE6BD6"/>
    <w:rsid w:val="00DF7A11"/>
    <w:rsid w:val="00E236D3"/>
    <w:rsid w:val="00E32152"/>
    <w:rsid w:val="00E6327A"/>
    <w:rsid w:val="00E66E86"/>
    <w:rsid w:val="00E8228B"/>
    <w:rsid w:val="00ED0E68"/>
    <w:rsid w:val="00EF4249"/>
    <w:rsid w:val="00F02565"/>
    <w:rsid w:val="00F12EC1"/>
    <w:rsid w:val="00F50C05"/>
    <w:rsid w:val="00F52B0F"/>
    <w:rsid w:val="00F552BF"/>
    <w:rsid w:val="00F6647E"/>
    <w:rsid w:val="00FC6B94"/>
    <w:rsid w:val="0AD98F90"/>
    <w:rsid w:val="153C77F0"/>
    <w:rsid w:val="1B1A52FC"/>
    <w:rsid w:val="309ABA80"/>
    <w:rsid w:val="404C98DB"/>
    <w:rsid w:val="5EC1A355"/>
    <w:rsid w:val="7833D8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088D3A"/>
  <w15:chartTrackingRefBased/>
  <w15:docId w15:val="{CE6CE336-3BE5-4641-9075-748D2883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autoSpaceDE w:val="0"/>
      <w:autoSpaceDN w:val="0"/>
      <w:adjustRightInd w:val="0"/>
      <w:outlineLvl w:val="0"/>
    </w:pPr>
    <w:rPr>
      <w:rFonts w:ascii="Verdana" w:hAnsi="Verdana"/>
      <w:b/>
      <w:bCs/>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link w:val="BalloonTextChar"/>
    <w:rsid w:val="00D91A19"/>
    <w:rPr>
      <w:rFonts w:ascii="Tahoma" w:hAnsi="Tahoma" w:cs="Tahoma"/>
      <w:sz w:val="16"/>
      <w:szCs w:val="16"/>
    </w:rPr>
  </w:style>
  <w:style w:type="character" w:customStyle="1" w:styleId="BalloonTextChar">
    <w:name w:val="Balloon Text Char"/>
    <w:link w:val="BalloonText"/>
    <w:rsid w:val="00D91A19"/>
    <w:rPr>
      <w:rFonts w:ascii="Tahoma" w:hAnsi="Tahoma" w:cs="Tahoma"/>
      <w:sz w:val="16"/>
      <w:szCs w:val="16"/>
    </w:rPr>
  </w:style>
  <w:style w:type="character" w:customStyle="1" w:styleId="FooterChar">
    <w:name w:val="Footer Char"/>
    <w:link w:val="Footer"/>
    <w:uiPriority w:val="99"/>
    <w:rsid w:val="00B34FD2"/>
    <w:rPr>
      <w:sz w:val="24"/>
      <w:szCs w:val="24"/>
    </w:rPr>
  </w:style>
  <w:style w:type="paragraph" w:customStyle="1" w:styleId="ColorfulList-Accent11">
    <w:name w:val="Colorful List - Accent 11"/>
    <w:basedOn w:val="Normal"/>
    <w:uiPriority w:val="34"/>
    <w:qFormat/>
    <w:rsid w:val="004A3E3D"/>
    <w:pPr>
      <w:spacing w:after="200" w:line="276" w:lineRule="auto"/>
      <w:ind w:left="720"/>
      <w:contextualSpacing/>
    </w:pPr>
    <w:rPr>
      <w:rFonts w:ascii="Calibri" w:eastAsia="Calibri" w:hAnsi="Calibri"/>
      <w:sz w:val="22"/>
      <w:szCs w:val="22"/>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rsid w:val="001A5E07"/>
    <w:rPr>
      <w:sz w:val="16"/>
      <w:szCs w:val="16"/>
    </w:rPr>
  </w:style>
  <w:style w:type="paragraph" w:styleId="CommentText">
    <w:name w:val="annotation text"/>
    <w:basedOn w:val="Normal"/>
    <w:link w:val="CommentTextChar"/>
    <w:rsid w:val="001A5E07"/>
    <w:rPr>
      <w:sz w:val="20"/>
      <w:szCs w:val="20"/>
    </w:rPr>
  </w:style>
  <w:style w:type="character" w:customStyle="1" w:styleId="CommentTextChar">
    <w:name w:val="Comment Text Char"/>
    <w:basedOn w:val="DefaultParagraphFont"/>
    <w:link w:val="CommentText"/>
    <w:rsid w:val="001A5E07"/>
    <w:rPr>
      <w:lang w:eastAsia="en-US"/>
    </w:rPr>
  </w:style>
  <w:style w:type="paragraph" w:styleId="CommentSubject">
    <w:name w:val="annotation subject"/>
    <w:basedOn w:val="CommentText"/>
    <w:next w:val="CommentText"/>
    <w:link w:val="CommentSubjectChar"/>
    <w:rsid w:val="001A5E07"/>
    <w:rPr>
      <w:b/>
      <w:bCs/>
    </w:rPr>
  </w:style>
  <w:style w:type="character" w:customStyle="1" w:styleId="CommentSubjectChar">
    <w:name w:val="Comment Subject Char"/>
    <w:basedOn w:val="CommentTextChar"/>
    <w:link w:val="CommentSubject"/>
    <w:rsid w:val="001A5E07"/>
    <w:rPr>
      <w:b/>
      <w:bCs/>
      <w:lang w:eastAsia="en-US"/>
    </w:rPr>
  </w:style>
  <w:style w:type="table" w:styleId="TableGrid">
    <w:name w:val="Table Grid"/>
    <w:basedOn w:val="TableNormal"/>
    <w:rsid w:val="00CC3B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3ACD38A2874841AB357E126F2BE42C" ma:contentTypeVersion="4" ma:contentTypeDescription="Create a new document." ma:contentTypeScope="" ma:versionID="0bd8d357456a4e2c99c3aaaab7cdf92e">
  <xsd:schema xmlns:xsd="http://www.w3.org/2001/XMLSchema" xmlns:xs="http://www.w3.org/2001/XMLSchema" xmlns:p="http://schemas.microsoft.com/office/2006/metadata/properties" xmlns:ns2="6470befb-1a01-4a88-b0ce-db078e1601a5" targetNamespace="http://schemas.microsoft.com/office/2006/metadata/properties" ma:root="true" ma:fieldsID="1483b28abb9ce3869740c69043890c31" ns2:_="">
    <xsd:import namespace="6470befb-1a01-4a88-b0ce-db078e1601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0befb-1a01-4a88-b0ce-db078e1601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48A12-626A-4E29-B96E-9EDD32906D20}">
  <ds:schemaRefs>
    <ds:schemaRef ds:uri="http://schemas.microsoft.com/sharepoint/v3/contenttype/forms"/>
  </ds:schemaRefs>
</ds:datastoreItem>
</file>

<file path=customXml/itemProps2.xml><?xml version="1.0" encoding="utf-8"?>
<ds:datastoreItem xmlns:ds="http://schemas.openxmlformats.org/officeDocument/2006/customXml" ds:itemID="{0DD707E2-6AE3-41D2-800E-1F31D233F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0befb-1a01-4a88-b0ce-db078e160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838</Words>
  <Characters>5239</Characters>
  <Application>Microsoft Office Word</Application>
  <DocSecurity>2</DocSecurity>
  <Lines>141</Lines>
  <Paragraphs>85</Paragraphs>
  <ScaleCrop>false</ScaleCrop>
  <HeadingPairs>
    <vt:vector size="2" baseType="variant">
      <vt:variant>
        <vt:lpstr>Title</vt:lpstr>
      </vt:variant>
      <vt:variant>
        <vt:i4>1</vt:i4>
      </vt:variant>
    </vt:vector>
  </HeadingPairs>
  <TitlesOfParts>
    <vt:vector size="1" baseType="lpstr">
      <vt:lpstr/>
    </vt:vector>
  </TitlesOfParts>
  <Company>HR Council for the Voluntary &amp; Non-profit Sector</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Barbour</dc:creator>
  <cp:keywords/>
  <cp:lastModifiedBy>Marcia Wells</cp:lastModifiedBy>
  <cp:revision>2</cp:revision>
  <cp:lastPrinted>2025-09-19T12:44:00Z</cp:lastPrinted>
  <dcterms:created xsi:type="dcterms:W3CDTF">2026-03-26T17:42:00Z</dcterms:created>
  <dcterms:modified xsi:type="dcterms:W3CDTF">2026-03-26T17:42:00Z</dcterms:modified>
</cp:coreProperties>
</file>