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FF3" w14:textId="65E84635" w:rsidR="003A4B69" w:rsidRPr="003C6653" w:rsidRDefault="003A4B69" w:rsidP="003A4B69">
      <w:pPr>
        <w:jc w:val="center"/>
        <w:rPr>
          <w:b/>
          <w:sz w:val="28"/>
          <w:szCs w:val="28"/>
        </w:rPr>
      </w:pPr>
      <w:r w:rsidRPr="003C6653">
        <w:rPr>
          <w:b/>
          <w:sz w:val="28"/>
          <w:szCs w:val="28"/>
        </w:rPr>
        <w:t>University of Louisiana at Monroe</w:t>
      </w:r>
    </w:p>
    <w:p w14:paraId="5FE928B3" w14:textId="77777777" w:rsidR="00C3234C" w:rsidRDefault="003A4B69" w:rsidP="003A4B69">
      <w:pPr>
        <w:jc w:val="center"/>
        <w:rPr>
          <w:rFonts w:ascii="Georgia" w:hAnsi="Georgia"/>
          <w:b/>
        </w:rPr>
      </w:pPr>
      <w:r w:rsidRPr="003C6653">
        <w:rPr>
          <w:b/>
          <w:sz w:val="28"/>
          <w:szCs w:val="28"/>
        </w:rPr>
        <w:t>Job Description</w:t>
      </w:r>
    </w:p>
    <w:p w14:paraId="5DAB6C7B" w14:textId="77777777" w:rsidR="00B51078" w:rsidRDefault="00B51078" w:rsidP="00B51078">
      <w:pPr>
        <w:rPr>
          <w:rFonts w:ascii="Georgia" w:hAnsi="Georgia" w:cs="Arial"/>
          <w:i/>
          <w:sz w:val="20"/>
        </w:rPr>
      </w:pPr>
    </w:p>
    <w:p w14:paraId="02EB378F" w14:textId="77777777" w:rsidR="003A4B69" w:rsidRPr="00C3234C" w:rsidRDefault="003A4B69" w:rsidP="003A4B69">
      <w:pPr>
        <w:jc w:val="center"/>
        <w:rPr>
          <w:rFonts w:ascii="Georgia" w:hAnsi="Georgia" w:cs="Arial"/>
          <w:i/>
          <w:sz w:val="20"/>
        </w:rPr>
      </w:pPr>
    </w:p>
    <w:tbl>
      <w:tblPr>
        <w:tblStyle w:val="TableGrid"/>
        <w:tblW w:w="10170" w:type="dxa"/>
        <w:tblLook w:val="01E0" w:firstRow="1" w:lastRow="1" w:firstColumn="1" w:lastColumn="1" w:noHBand="0" w:noVBand="0"/>
      </w:tblPr>
      <w:tblGrid>
        <w:gridCol w:w="3722"/>
        <w:gridCol w:w="6448"/>
      </w:tblGrid>
      <w:tr w:rsidR="00C3234C" w:rsidRPr="00A51435" w14:paraId="6BB236EE" w14:textId="77777777" w:rsidTr="004F3BD8">
        <w:trPr>
          <w:trHeight w:val="490"/>
        </w:trPr>
        <w:tc>
          <w:tcPr>
            <w:tcW w:w="3722" w:type="dxa"/>
          </w:tcPr>
          <w:p w14:paraId="73FAC522" w14:textId="77777777" w:rsidR="00D91A19" w:rsidRPr="003C6653" w:rsidRDefault="00AB0FCD">
            <w:pPr>
              <w:rPr>
                <w:b/>
              </w:rPr>
            </w:pPr>
            <w:r w:rsidRPr="003C6653">
              <w:rPr>
                <w:b/>
              </w:rPr>
              <w:t>Job Title</w:t>
            </w:r>
          </w:p>
        </w:tc>
        <w:tc>
          <w:tcPr>
            <w:tcW w:w="6448" w:type="dxa"/>
          </w:tcPr>
          <w:p w14:paraId="404F1DAD" w14:textId="6B62DAB7" w:rsidR="00D91A19" w:rsidRPr="003C6653" w:rsidRDefault="0050100A">
            <w:pPr>
              <w:ind w:left="72"/>
            </w:pPr>
            <w:r>
              <w:t>Program Director, Assessment and Accreditation</w:t>
            </w:r>
          </w:p>
        </w:tc>
      </w:tr>
      <w:tr w:rsidR="00AB0FCD" w:rsidRPr="00A51435" w14:paraId="5611889A" w14:textId="77777777" w:rsidTr="004F3BD8">
        <w:trPr>
          <w:trHeight w:val="490"/>
        </w:trPr>
        <w:tc>
          <w:tcPr>
            <w:tcW w:w="3722" w:type="dxa"/>
          </w:tcPr>
          <w:p w14:paraId="333DBD98" w14:textId="77777777" w:rsidR="00AB0FCD" w:rsidRPr="003C6653" w:rsidRDefault="00AB0FCD">
            <w:pPr>
              <w:rPr>
                <w:b/>
              </w:rPr>
            </w:pPr>
            <w:r w:rsidRPr="003C6653">
              <w:rPr>
                <w:b/>
              </w:rPr>
              <w:t>College/School/Department/Office</w:t>
            </w:r>
          </w:p>
        </w:tc>
        <w:tc>
          <w:tcPr>
            <w:tcW w:w="6448" w:type="dxa"/>
          </w:tcPr>
          <w:p w14:paraId="2BE2032F" w14:textId="7A846109" w:rsidR="00AB0FCD" w:rsidRPr="003C6653" w:rsidRDefault="000F6D58">
            <w:pPr>
              <w:ind w:left="72"/>
            </w:pPr>
            <w:r>
              <w:t>College of Pharmacy</w:t>
            </w:r>
          </w:p>
        </w:tc>
      </w:tr>
      <w:tr w:rsidR="002D7AE4" w:rsidRPr="00A51435" w14:paraId="3B1B8A47" w14:textId="77777777" w:rsidTr="004F3BD8">
        <w:trPr>
          <w:trHeight w:val="490"/>
        </w:trPr>
        <w:tc>
          <w:tcPr>
            <w:tcW w:w="3722" w:type="dxa"/>
          </w:tcPr>
          <w:p w14:paraId="01CAF61D" w14:textId="77777777" w:rsidR="002D7AE4" w:rsidRPr="003C6653" w:rsidRDefault="002D7AE4">
            <w:r w:rsidRPr="003C6653">
              <w:rPr>
                <w:b/>
              </w:rPr>
              <w:t>Reports to</w:t>
            </w:r>
          </w:p>
        </w:tc>
        <w:tc>
          <w:tcPr>
            <w:tcW w:w="6448" w:type="dxa"/>
          </w:tcPr>
          <w:p w14:paraId="4D69F6CB" w14:textId="77777777" w:rsidR="002D7AE4" w:rsidRPr="003C6653" w:rsidRDefault="00A85C68">
            <w:pPr>
              <w:ind w:left="72"/>
            </w:pPr>
            <w:r>
              <w:t>Dean, College of Pharmacy</w:t>
            </w:r>
          </w:p>
        </w:tc>
      </w:tr>
      <w:tr w:rsidR="000512EC" w:rsidRPr="00A51435" w14:paraId="48AFD5EE" w14:textId="77777777" w:rsidTr="004F3BD8">
        <w:trPr>
          <w:trHeight w:val="490"/>
        </w:trPr>
        <w:tc>
          <w:tcPr>
            <w:tcW w:w="3722" w:type="dxa"/>
          </w:tcPr>
          <w:p w14:paraId="688FD590" w14:textId="77777777" w:rsidR="000512EC" w:rsidRPr="003C6653" w:rsidRDefault="000512EC">
            <w:pPr>
              <w:rPr>
                <w:b/>
              </w:rPr>
            </w:pPr>
            <w:r>
              <w:rPr>
                <w:b/>
              </w:rPr>
              <w:t>Employee Classification (classified, unclassified, faculty)</w:t>
            </w:r>
          </w:p>
        </w:tc>
        <w:tc>
          <w:tcPr>
            <w:tcW w:w="6448" w:type="dxa"/>
          </w:tcPr>
          <w:p w14:paraId="1E151847" w14:textId="77777777" w:rsidR="000512EC" w:rsidRPr="003C6653" w:rsidRDefault="002F23A4">
            <w:pPr>
              <w:ind w:left="72"/>
            </w:pPr>
            <w:r>
              <w:t>Faculty</w:t>
            </w:r>
          </w:p>
        </w:tc>
      </w:tr>
    </w:tbl>
    <w:p w14:paraId="6A05A809" w14:textId="77777777" w:rsidR="002D7AE4" w:rsidRDefault="002D7AE4">
      <w:pPr>
        <w:rPr>
          <w:rFonts w:ascii="Georgia" w:hAnsi="Georgia" w:cs="Arial"/>
          <w:sz w:val="20"/>
        </w:rPr>
      </w:pPr>
    </w:p>
    <w:p w14:paraId="5A39BBE3" w14:textId="77777777" w:rsidR="00C3234C" w:rsidRPr="00A51435" w:rsidRDefault="00C3234C">
      <w:pPr>
        <w:rPr>
          <w:rFonts w:ascii="Georgia" w:hAnsi="Georgia" w:cs="Arial"/>
          <w:sz w:val="20"/>
        </w:rPr>
      </w:pPr>
    </w:p>
    <w:p w14:paraId="7CEBFB92" w14:textId="77777777" w:rsidR="002D7AE4" w:rsidRPr="003C6653" w:rsidRDefault="000512EC">
      <w:pPr>
        <w:shd w:val="clear" w:color="auto" w:fill="E0E0E0"/>
        <w:rPr>
          <w:b/>
        </w:rPr>
      </w:pPr>
      <w:r>
        <w:rPr>
          <w:b/>
        </w:rPr>
        <w:t>Job Summary</w:t>
      </w:r>
    </w:p>
    <w:p w14:paraId="3DBF7C5A" w14:textId="4D516FAB" w:rsidR="006F7A7A" w:rsidRDefault="00BF55A3" w:rsidP="006F7A7A">
      <w:r>
        <w:t xml:space="preserve">The Program Director of Assessment and Accreditation will provide </w:t>
      </w:r>
      <w:r w:rsidR="00095ECF">
        <w:t xml:space="preserve">oversight, leadership, and support for educational </w:t>
      </w:r>
      <w:r w:rsidR="00335DF9">
        <w:t xml:space="preserve">and programmatic assessment </w:t>
      </w:r>
      <w:r w:rsidR="0023200F">
        <w:t>in the College of Pharmacy</w:t>
      </w:r>
      <w:r w:rsidR="0056587A">
        <w:t xml:space="preserve">. </w:t>
      </w:r>
      <w:r w:rsidR="00F11891">
        <w:t xml:space="preserve">The Program Director </w:t>
      </w:r>
      <w:r w:rsidR="00DD18C0">
        <w:t xml:space="preserve">is responsible for collection, analysis, and assessment of data used to improve educational and programmatic outcomes and support </w:t>
      </w:r>
      <w:r w:rsidR="00DE42A8">
        <w:t>accreditation based on Accreditation Council for Pharmacy Education (ACPE) standards</w:t>
      </w:r>
      <w:r w:rsidR="00694374">
        <w:t>. This is a supportive role and requires the Program Director to maintain good relationships with faculty, staff, and students</w:t>
      </w:r>
      <w:r w:rsidR="00883F70">
        <w:t xml:space="preserve"> to serve each group in the threefold mission of 1) maintaining ACPE standards, </w:t>
      </w:r>
      <w:r w:rsidR="00A44EE1">
        <w:t xml:space="preserve">2) improve program outcomes through institutional research, and 3) improve individual outcomes </w:t>
      </w:r>
      <w:r w:rsidR="004C080F">
        <w:t xml:space="preserve">through </w:t>
      </w:r>
      <w:r w:rsidR="00C2199B">
        <w:t>direct application of analysis and assessment.</w:t>
      </w:r>
    </w:p>
    <w:p w14:paraId="72A3D3EC" w14:textId="77777777" w:rsidR="002D7AE4" w:rsidRPr="003C6653" w:rsidRDefault="002D7AE4">
      <w:pPr>
        <w:ind w:left="360"/>
      </w:pPr>
    </w:p>
    <w:p w14:paraId="5B2DCF4C" w14:textId="77777777" w:rsidR="002D7AE4" w:rsidRPr="003C6653" w:rsidRDefault="000512EC">
      <w:pPr>
        <w:shd w:val="clear" w:color="auto" w:fill="E0E0E0"/>
        <w:rPr>
          <w:b/>
        </w:rPr>
      </w:pPr>
      <w:r>
        <w:rPr>
          <w:b/>
        </w:rPr>
        <w:t>Duties and R</w:t>
      </w:r>
      <w:r w:rsidR="002D7AE4" w:rsidRPr="003C6653">
        <w:rPr>
          <w:b/>
        </w:rPr>
        <w:t>esponsibilities</w:t>
      </w:r>
    </w:p>
    <w:p w14:paraId="7ED6FB79" w14:textId="77777777" w:rsidR="006F7A7A" w:rsidRDefault="006F7A7A" w:rsidP="00C2199B">
      <w:r>
        <w:t>Includes the following, with other duties that may be assigned by the Dean:</w:t>
      </w:r>
    </w:p>
    <w:p w14:paraId="42E93863" w14:textId="77777777" w:rsidR="003B6611" w:rsidRDefault="003B6611" w:rsidP="00C2199B"/>
    <w:p w14:paraId="11DF8209" w14:textId="211E749A" w:rsidR="003B6611" w:rsidRDefault="003B6611" w:rsidP="00C2199B">
      <w:r>
        <w:t>Program Assessment and Evaluation</w:t>
      </w:r>
    </w:p>
    <w:p w14:paraId="22F2B5EC" w14:textId="1AB277BD" w:rsidR="00011AFB" w:rsidRDefault="00011AFB" w:rsidP="00011AFB">
      <w:pPr>
        <w:pStyle w:val="ListParagraph"/>
        <w:numPr>
          <w:ilvl w:val="0"/>
          <w:numId w:val="14"/>
        </w:numPr>
      </w:pPr>
      <w:r>
        <w:t>Oversee all assessment-related activities for the College of Pharmacy</w:t>
      </w:r>
    </w:p>
    <w:p w14:paraId="31C1FB2E" w14:textId="04A38BDA" w:rsidR="00BB2BA9" w:rsidRDefault="00BB2BA9" w:rsidP="00011AFB">
      <w:pPr>
        <w:pStyle w:val="ListParagraph"/>
        <w:numPr>
          <w:ilvl w:val="0"/>
          <w:numId w:val="14"/>
        </w:numPr>
      </w:pPr>
      <w:r>
        <w:t xml:space="preserve">Design and lead </w:t>
      </w:r>
      <w:r w:rsidR="0034578B">
        <w:t>the College’s Assessment Plan.</w:t>
      </w:r>
    </w:p>
    <w:p w14:paraId="4CD3AA35" w14:textId="44E6C33C" w:rsidR="0034578B" w:rsidRDefault="0034578B" w:rsidP="00011AFB">
      <w:pPr>
        <w:pStyle w:val="ListParagraph"/>
        <w:numPr>
          <w:ilvl w:val="0"/>
          <w:numId w:val="14"/>
        </w:numPr>
      </w:pPr>
      <w:r>
        <w:t>Coordinate with faculty, committees, and key stakeholders to develop and implement assessments, tools, and strategies to assess and improve all aspects of the p</w:t>
      </w:r>
      <w:r w:rsidR="000F3494">
        <w:t>rofessional program.</w:t>
      </w:r>
    </w:p>
    <w:p w14:paraId="22A34638" w14:textId="4CC8CA5A" w:rsidR="000F3494" w:rsidRDefault="00AE6CB8" w:rsidP="00011AFB">
      <w:pPr>
        <w:pStyle w:val="ListParagraph"/>
        <w:numPr>
          <w:ilvl w:val="0"/>
          <w:numId w:val="14"/>
        </w:numPr>
      </w:pPr>
      <w:r>
        <w:t xml:space="preserve">Communicate </w:t>
      </w:r>
      <w:r w:rsidR="00373B75">
        <w:t>assessment results and reports to the faculty, students, and other stakeholders as appropriate.</w:t>
      </w:r>
    </w:p>
    <w:p w14:paraId="71A322B9" w14:textId="77777777" w:rsidR="00D80524" w:rsidRDefault="000B04F6" w:rsidP="00D80524">
      <w:pPr>
        <w:pStyle w:val="ListParagraph"/>
        <w:numPr>
          <w:ilvl w:val="0"/>
          <w:numId w:val="14"/>
        </w:numPr>
      </w:pPr>
      <w:r>
        <w:t xml:space="preserve">Keep and </w:t>
      </w:r>
      <w:r w:rsidR="00D80524">
        <w:t>administer assessment data for the College.</w:t>
      </w:r>
    </w:p>
    <w:p w14:paraId="0917F124" w14:textId="77777777" w:rsidR="00D80524" w:rsidRDefault="00D80524" w:rsidP="00D80524"/>
    <w:p w14:paraId="1C6DCCEC" w14:textId="72B6FE8F" w:rsidR="00FC4A15" w:rsidRDefault="00FC4A15" w:rsidP="00D80524">
      <w:r>
        <w:t>Accreditation</w:t>
      </w:r>
    </w:p>
    <w:p w14:paraId="3C84374D" w14:textId="284845BA" w:rsidR="00FC4A15" w:rsidRDefault="00FC4A15" w:rsidP="00FC4A15">
      <w:pPr>
        <w:pStyle w:val="ListParagraph"/>
        <w:numPr>
          <w:ilvl w:val="0"/>
          <w:numId w:val="15"/>
        </w:numPr>
      </w:pPr>
      <w:r>
        <w:t>Coordinate activities relating to accreditation and ACPE.</w:t>
      </w:r>
    </w:p>
    <w:p w14:paraId="7AC7F2EB" w14:textId="080FF896" w:rsidR="00FC4A15" w:rsidRDefault="00AE177C" w:rsidP="00FC4A15">
      <w:pPr>
        <w:pStyle w:val="ListParagraph"/>
        <w:numPr>
          <w:ilvl w:val="0"/>
          <w:numId w:val="15"/>
        </w:numPr>
      </w:pPr>
      <w:r>
        <w:t>Administer and c</w:t>
      </w:r>
      <w:r w:rsidR="00FC4A15">
        <w:t xml:space="preserve">omplete annual American Association of Colleges of Pharmacy (AACP) </w:t>
      </w:r>
      <w:r>
        <w:t>surveys and data requests.</w:t>
      </w:r>
    </w:p>
    <w:p w14:paraId="55C4D2B7" w14:textId="0231822E" w:rsidR="00AE177C" w:rsidRDefault="00AE177C" w:rsidP="00FC4A15">
      <w:pPr>
        <w:pStyle w:val="ListParagraph"/>
        <w:numPr>
          <w:ilvl w:val="0"/>
          <w:numId w:val="15"/>
        </w:numPr>
      </w:pPr>
      <w:r>
        <w:t xml:space="preserve">Coordinate, prepare, and disseminate </w:t>
      </w:r>
      <w:proofErr w:type="spellStart"/>
      <w:r w:rsidR="007867BA">
        <w:t>extracollegiate</w:t>
      </w:r>
      <w:proofErr w:type="spellEnd"/>
      <w:r w:rsidR="007867BA">
        <w:t xml:space="preserve"> reports and letters related to assessment and accreditation, including those for ACPE and AACP.</w:t>
      </w:r>
    </w:p>
    <w:p w14:paraId="1DD7AA66" w14:textId="22BD2762" w:rsidR="007867BA" w:rsidRDefault="00EF7FD4" w:rsidP="00FC4A15">
      <w:pPr>
        <w:pStyle w:val="ListParagraph"/>
        <w:numPr>
          <w:ilvl w:val="0"/>
          <w:numId w:val="15"/>
        </w:numPr>
      </w:pPr>
      <w:r>
        <w:t>Manage workflows and assemble projects related to accreditation, such as self-study reports.</w:t>
      </w:r>
    </w:p>
    <w:p w14:paraId="07DEB6CC" w14:textId="50B522CC" w:rsidR="00BD70EC" w:rsidRDefault="00BD70EC" w:rsidP="00FC4A15">
      <w:pPr>
        <w:pStyle w:val="ListParagraph"/>
        <w:numPr>
          <w:ilvl w:val="0"/>
          <w:numId w:val="15"/>
        </w:numPr>
      </w:pPr>
      <w:r>
        <w:t>Serve as liaison with the ULM Office of Assessment and Evaluation</w:t>
      </w:r>
    </w:p>
    <w:p w14:paraId="3C4A0ED2" w14:textId="40670D6A" w:rsidR="006D24E8" w:rsidRDefault="006D24E8" w:rsidP="00FC4A15">
      <w:pPr>
        <w:pStyle w:val="ListParagraph"/>
        <w:numPr>
          <w:ilvl w:val="0"/>
          <w:numId w:val="15"/>
        </w:numPr>
      </w:pPr>
      <w:r>
        <w:t>Update public-facing accreditation information.</w:t>
      </w:r>
    </w:p>
    <w:p w14:paraId="112866AE" w14:textId="3382469C" w:rsidR="006D24E8" w:rsidRDefault="006D24E8" w:rsidP="006D24E8">
      <w:r>
        <w:lastRenderedPageBreak/>
        <w:t>College Service</w:t>
      </w:r>
    </w:p>
    <w:p w14:paraId="0587721D" w14:textId="500CB585" w:rsidR="006D24E8" w:rsidRDefault="007D4AB3" w:rsidP="007D4AB3">
      <w:pPr>
        <w:pStyle w:val="ListParagraph"/>
        <w:numPr>
          <w:ilvl w:val="0"/>
          <w:numId w:val="16"/>
        </w:numPr>
      </w:pPr>
      <w:r>
        <w:t>Con</w:t>
      </w:r>
      <w:r w:rsidR="00BF3C93">
        <w:t>sult for College committees or faculty members on institutional research or assessment-related projects.</w:t>
      </w:r>
    </w:p>
    <w:p w14:paraId="33789AE0" w14:textId="3B3EB3F7" w:rsidR="006528AB" w:rsidRDefault="006528AB" w:rsidP="007D4AB3">
      <w:pPr>
        <w:pStyle w:val="ListParagraph"/>
        <w:numPr>
          <w:ilvl w:val="0"/>
          <w:numId w:val="16"/>
        </w:numPr>
      </w:pPr>
      <w:r>
        <w:t>Serve on College and University committees as assigned by the Dean.</w:t>
      </w:r>
    </w:p>
    <w:p w14:paraId="6CE79BB7" w14:textId="178EBFB0" w:rsidR="006528AB" w:rsidRDefault="006528AB" w:rsidP="00B000CB">
      <w:pPr>
        <w:pStyle w:val="ListParagraph"/>
        <w:numPr>
          <w:ilvl w:val="0"/>
          <w:numId w:val="16"/>
        </w:numPr>
      </w:pPr>
      <w:r>
        <w:t>Teach in assigned didactic and experiential courses.</w:t>
      </w:r>
    </w:p>
    <w:p w14:paraId="13860E59" w14:textId="533573CF" w:rsidR="0062609A" w:rsidRDefault="0062609A" w:rsidP="007D4AB3">
      <w:pPr>
        <w:pStyle w:val="ListParagraph"/>
        <w:numPr>
          <w:ilvl w:val="0"/>
          <w:numId w:val="16"/>
        </w:numPr>
      </w:pPr>
      <w:r>
        <w:t>Maintain an active scholarship program.</w:t>
      </w:r>
    </w:p>
    <w:p w14:paraId="1EBEA354" w14:textId="5CEC9423" w:rsidR="00A85C68" w:rsidRPr="009618EF" w:rsidRDefault="008D7EC3" w:rsidP="009618EF">
      <w:pPr>
        <w:pStyle w:val="ListParagraph"/>
        <w:numPr>
          <w:ilvl w:val="0"/>
          <w:numId w:val="16"/>
        </w:numPr>
      </w:pPr>
      <w:r>
        <w:t xml:space="preserve">Provide statistics and analysis </w:t>
      </w:r>
      <w:r w:rsidR="000E702B">
        <w:t>support for faculty</w:t>
      </w:r>
      <w:r w:rsidR="009618EF">
        <w:t xml:space="preserve"> when possible.</w:t>
      </w:r>
    </w:p>
    <w:p w14:paraId="4E879CCC" w14:textId="77777777" w:rsidR="009618EF" w:rsidRDefault="009618EF" w:rsidP="009618EF"/>
    <w:p w14:paraId="0D0B940D" w14:textId="39E5C9BD" w:rsidR="00A85C68" w:rsidRDefault="553B88D8" w:rsidP="79FB3E74">
      <w:pPr>
        <w:pStyle w:val="ColorfulList-Accent11"/>
        <w:shd w:val="clear" w:color="auto" w:fill="E0E0E0"/>
        <w:spacing w:after="0" w:line="240" w:lineRule="auto"/>
        <w:ind w:left="0"/>
        <w:rPr>
          <w:rFonts w:ascii="Times New Roman" w:eastAsia="Times New Roman" w:hAnsi="Times New Roman"/>
          <w:b/>
          <w:bCs/>
          <w:sz w:val="24"/>
          <w:szCs w:val="24"/>
        </w:rPr>
      </w:pPr>
      <w:r w:rsidRPr="79FB3E74">
        <w:rPr>
          <w:rFonts w:ascii="Times New Roman" w:eastAsia="Times New Roman" w:hAnsi="Times New Roman"/>
          <w:b/>
          <w:bCs/>
          <w:sz w:val="24"/>
          <w:szCs w:val="24"/>
        </w:rPr>
        <w:t>General Expectations</w:t>
      </w:r>
    </w:p>
    <w:p w14:paraId="73615DDC" w14:textId="04B3F9A7" w:rsidR="00337FF3" w:rsidRPr="00F0709B" w:rsidRDefault="553B88D8" w:rsidP="004F3BD8">
      <w:pPr>
        <w:pStyle w:val="ListParagraph"/>
        <w:numPr>
          <w:ilvl w:val="0"/>
          <w:numId w:val="3"/>
        </w:numPr>
      </w:pPr>
      <w:r w:rsidRPr="00F0709B">
        <w:t xml:space="preserve">All Faculty are expected to be </w:t>
      </w:r>
      <w:r w:rsidR="64949627" w:rsidRPr="00F0709B">
        <w:t>360-degree</w:t>
      </w:r>
      <w:r w:rsidRPr="00F0709B">
        <w:t xml:space="preserve"> leaders and are expected to understand</w:t>
      </w:r>
      <w:r w:rsidR="004F3BD8">
        <w:t xml:space="preserve"> </w:t>
      </w:r>
      <w:r w:rsidRPr="00F0709B">
        <w:rPr>
          <w:rFonts w:eastAsia="Calibri"/>
        </w:rPr>
        <w:t xml:space="preserve">and utilize </w:t>
      </w:r>
      <w:r w:rsidRPr="00F0709B">
        <w:t xml:space="preserve">leadership </w:t>
      </w:r>
      <w:r w:rsidR="000F6D58" w:rsidRPr="00F0709B">
        <w:t>concepts</w:t>
      </w:r>
      <w:r w:rsidRPr="00F0709B">
        <w:t xml:space="preserve"> to liberate others. </w:t>
      </w:r>
      <w:r w:rsidRPr="00F0709B">
        <w:rPr>
          <w:rFonts w:eastAsia="Calibri"/>
        </w:rPr>
        <w:t xml:space="preserve"> </w:t>
      </w:r>
    </w:p>
    <w:p w14:paraId="4A30B873" w14:textId="0BAF1B1E" w:rsidR="00337FF3" w:rsidRPr="003C6653" w:rsidRDefault="553B88D8" w:rsidP="79FB3E74">
      <w:pPr>
        <w:pStyle w:val="ListParagraph"/>
        <w:numPr>
          <w:ilvl w:val="0"/>
          <w:numId w:val="2"/>
        </w:numPr>
      </w:pPr>
      <w:r w:rsidRPr="79FB3E74">
        <w:t xml:space="preserve">Play facilitating role in team meetings to encourage other team members to participate. </w:t>
      </w:r>
    </w:p>
    <w:p w14:paraId="5AF4A27C" w14:textId="1E3EA018" w:rsidR="00337FF3" w:rsidRPr="003C6653" w:rsidRDefault="553B88D8" w:rsidP="79FB3E74">
      <w:pPr>
        <w:pStyle w:val="ListParagraph"/>
        <w:numPr>
          <w:ilvl w:val="0"/>
          <w:numId w:val="2"/>
        </w:numPr>
      </w:pPr>
      <w:r w:rsidRPr="79FB3E74">
        <w:t xml:space="preserve">Perform individual and team-assigned work/responsibilities on time and to standards.  </w:t>
      </w:r>
    </w:p>
    <w:p w14:paraId="70E60E1B" w14:textId="10AF72E6" w:rsidR="00337FF3" w:rsidRPr="003C6653" w:rsidRDefault="553B88D8" w:rsidP="79FB3E74">
      <w:pPr>
        <w:pStyle w:val="ListParagraph"/>
        <w:numPr>
          <w:ilvl w:val="0"/>
          <w:numId w:val="2"/>
        </w:numPr>
      </w:pPr>
      <w:r w:rsidRPr="79FB3E74">
        <w:t xml:space="preserve">Receive no valid complaints about conduct during the year from stakeholders.  </w:t>
      </w:r>
    </w:p>
    <w:p w14:paraId="1FCBB0D6" w14:textId="3FF46C9A" w:rsidR="00337FF3" w:rsidRPr="003C6653" w:rsidRDefault="553B88D8" w:rsidP="79FB3E74">
      <w:pPr>
        <w:pStyle w:val="ListParagraph"/>
        <w:numPr>
          <w:ilvl w:val="0"/>
          <w:numId w:val="1"/>
        </w:numPr>
      </w:pPr>
      <w:r w:rsidRPr="79FB3E74">
        <w:t xml:space="preserve">Respond to requests for information from coworkers within 48 business hours of request. </w:t>
      </w:r>
    </w:p>
    <w:p w14:paraId="60061E4C" w14:textId="02914B2A" w:rsidR="00337FF3" w:rsidRPr="003C6653" w:rsidRDefault="00337FF3" w:rsidP="79FB3E74">
      <w:pPr>
        <w:spacing w:line="257" w:lineRule="auto"/>
        <w:rPr>
          <w:rFonts w:ascii="Calibri" w:eastAsia="Calibri" w:hAnsi="Calibri" w:cs="Calibri"/>
        </w:rPr>
      </w:pPr>
    </w:p>
    <w:p w14:paraId="0346C24D" w14:textId="77777777" w:rsidR="00337FF3" w:rsidRPr="003C6653" w:rsidRDefault="000512EC" w:rsidP="00337FF3">
      <w:pPr>
        <w:shd w:val="clear" w:color="auto" w:fill="E0E0E0"/>
        <w:rPr>
          <w:b/>
        </w:rPr>
      </w:pPr>
      <w:r>
        <w:rPr>
          <w:b/>
        </w:rPr>
        <w:t xml:space="preserve">Minimum </w:t>
      </w:r>
      <w:r w:rsidR="00337FF3" w:rsidRPr="003C6653">
        <w:rPr>
          <w:b/>
        </w:rPr>
        <w:t>Qualifications/Requirements</w:t>
      </w:r>
    </w:p>
    <w:p w14:paraId="59851E3C" w14:textId="6E3876E6" w:rsidR="00A23BAE" w:rsidRDefault="00A85C68" w:rsidP="00A85C68">
      <w:pPr>
        <w:autoSpaceDE w:val="0"/>
        <w:autoSpaceDN w:val="0"/>
        <w:adjustRightInd w:val="0"/>
      </w:pPr>
      <w:r>
        <w:rPr>
          <w:b/>
          <w:bCs/>
        </w:rPr>
        <w:t>Education and/or Experience</w:t>
      </w:r>
      <w:r>
        <w:t xml:space="preserve">: Have an earned professional pharmacy degree (Preferred) (B.S. or Pharm.D.) </w:t>
      </w:r>
      <w:r w:rsidR="008F5A3B">
        <w:t>or</w:t>
      </w:r>
      <w:r>
        <w:t xml:space="preserve"> a terminal degree if the professional degree is a not a Pharm.D.; five years relevant experience in pharmacy education. Documented accomplishments in teaching, research, and service at a level to be appointed as a professor/associate professor in one of the </w:t>
      </w:r>
      <w:r w:rsidRPr="2AC5EF87">
        <w:t>acad</w:t>
      </w:r>
      <w:r w:rsidR="00A23BAE">
        <w:t>emic departments of the College.</w:t>
      </w:r>
    </w:p>
    <w:p w14:paraId="44EAFD9C" w14:textId="77777777" w:rsidR="00A23BAE" w:rsidRDefault="00A23BAE" w:rsidP="00A85C68">
      <w:pPr>
        <w:autoSpaceDE w:val="0"/>
        <w:autoSpaceDN w:val="0"/>
        <w:adjustRightInd w:val="0"/>
      </w:pPr>
    </w:p>
    <w:p w14:paraId="2E791DB5" w14:textId="63A6947E" w:rsidR="00A85C68" w:rsidRDefault="00A85C68" w:rsidP="00A85C68">
      <w:pPr>
        <w:autoSpaceDE w:val="0"/>
        <w:autoSpaceDN w:val="0"/>
        <w:adjustRightInd w:val="0"/>
      </w:pPr>
      <w:r w:rsidRPr="4A658B66">
        <w:rPr>
          <w:b/>
          <w:bCs/>
        </w:rPr>
        <w:t>Language Skills</w:t>
      </w:r>
      <w:r>
        <w:t xml:space="preserve">: Excellent written and verbal communication skills. Ability to read, analyze and interpret common scientific and technical journals, financial reports, and legal documents. Ability to respond to common </w:t>
      </w:r>
      <w:r w:rsidR="282E41E8">
        <w:t>inquiries</w:t>
      </w:r>
      <w:r>
        <w:t xml:space="preserve"> or complaints from customers, regulatory agencies, faculty, staff, students, and members of the profession of pharmacy and other business entities. Ability to write speeches and articles for publication that conform to prescribed style and format. Ability to effectively present information to individuals at all levels, ranging from children to members of boards of director and legislators.</w:t>
      </w:r>
    </w:p>
    <w:p w14:paraId="4B94D5A5" w14:textId="77777777" w:rsidR="00A23BAE" w:rsidRDefault="00A23BAE" w:rsidP="00A85C68">
      <w:pPr>
        <w:autoSpaceDE w:val="0"/>
        <w:autoSpaceDN w:val="0"/>
        <w:adjustRightInd w:val="0"/>
      </w:pPr>
    </w:p>
    <w:p w14:paraId="375533E5" w14:textId="77777777" w:rsidR="00A85C68" w:rsidRDefault="00A85C68" w:rsidP="00A85C68">
      <w:pPr>
        <w:autoSpaceDE w:val="0"/>
        <w:autoSpaceDN w:val="0"/>
        <w:adjustRightInd w:val="0"/>
      </w:pPr>
      <w:r>
        <w:rPr>
          <w:b/>
          <w:bCs/>
        </w:rPr>
        <w:t>Reasoning Abilities</w:t>
      </w:r>
      <w:r>
        <w:t>: Ability to define problems, collect data, establish facts and draw valid conclusions to solve problems and plan initiatives. Ability to interpret an extensive variety of technical instructions in mathematical or diagram form and deal with various abstract and concrete variables.</w:t>
      </w:r>
    </w:p>
    <w:p w14:paraId="3DEEC669" w14:textId="77777777" w:rsidR="00A23BAE" w:rsidRDefault="00A23BAE" w:rsidP="00A85C68">
      <w:pPr>
        <w:autoSpaceDE w:val="0"/>
        <w:autoSpaceDN w:val="0"/>
        <w:adjustRightInd w:val="0"/>
      </w:pPr>
    </w:p>
    <w:p w14:paraId="596B692A" w14:textId="70954313" w:rsidR="00A85C68" w:rsidRDefault="00A85C68" w:rsidP="00A85C68">
      <w:pPr>
        <w:autoSpaceDE w:val="0"/>
        <w:autoSpaceDN w:val="0"/>
        <w:adjustRightInd w:val="0"/>
      </w:pPr>
      <w:r w:rsidRPr="4A658B66">
        <w:rPr>
          <w:b/>
          <w:bCs/>
        </w:rPr>
        <w:t>Other Qualifications</w:t>
      </w:r>
      <w:r>
        <w:t xml:space="preserve">: Demonstrated ethical behavior, professionalism, interpersonal skills, </w:t>
      </w:r>
      <w:r w:rsidR="6E763F76">
        <w:t>leadership,</w:t>
      </w:r>
      <w:r>
        <w:t xml:space="preserve"> and management abilities sufficient to effectively direct the support staff. Imminent knowledge of current professional trends in pharmacy, and general knowledge of current trends in the pharmacy practice relating as they relate to curricular aspects of the college. </w:t>
      </w:r>
      <w:r w:rsidR="00E702C3">
        <w:t xml:space="preserve">Proficient with </w:t>
      </w:r>
      <w:r w:rsidR="00243BF4">
        <w:t>statistics and data visualization software, such as R, and database management.</w:t>
      </w:r>
    </w:p>
    <w:p w14:paraId="3656B9AB" w14:textId="77777777" w:rsidR="005F590B" w:rsidRPr="003C6653" w:rsidRDefault="005F590B" w:rsidP="00337FF3"/>
    <w:p w14:paraId="6775E0C5" w14:textId="77777777" w:rsidR="002D7AE4" w:rsidRPr="003C6653" w:rsidRDefault="002D7AE4">
      <w:pPr>
        <w:shd w:val="clear" w:color="auto" w:fill="E0E0E0"/>
      </w:pPr>
      <w:r w:rsidRPr="003C6653">
        <w:rPr>
          <w:b/>
        </w:rPr>
        <w:t>Working conditions</w:t>
      </w:r>
    </w:p>
    <w:p w14:paraId="0C9C8F4E" w14:textId="77777777" w:rsidR="00A85C68" w:rsidRPr="00BE37B5" w:rsidRDefault="00A85C68" w:rsidP="00A85C68">
      <w:pPr>
        <w:autoSpaceDE w:val="0"/>
        <w:autoSpaceDN w:val="0"/>
        <w:adjustRightInd w:val="0"/>
      </w:pPr>
      <w:r>
        <w:rPr>
          <w:b/>
          <w:bCs/>
        </w:rPr>
        <w:lastRenderedPageBreak/>
        <w:t>Work Environment</w:t>
      </w:r>
      <w:r>
        <w:t>: Normal job functions performed within a standard office environment. Exposure to clinical patient care and/or research laboratories is likely. Reasonable accommodations may be made to enable individuals with disabilities to perform the essential functions.</w:t>
      </w:r>
    </w:p>
    <w:p w14:paraId="45FB0818" w14:textId="77777777" w:rsidR="002D7AE4" w:rsidRPr="003C6653" w:rsidRDefault="002D7AE4"/>
    <w:p w14:paraId="049F31CB" w14:textId="77777777" w:rsidR="005F590B" w:rsidRPr="003C6653" w:rsidRDefault="005F590B"/>
    <w:p w14:paraId="2DF33982" w14:textId="77777777" w:rsidR="002D7AE4" w:rsidRPr="003C6653" w:rsidRDefault="002D7AE4">
      <w:pPr>
        <w:shd w:val="clear" w:color="auto" w:fill="E0E0E0"/>
        <w:rPr>
          <w:b/>
        </w:rPr>
      </w:pPr>
      <w:r w:rsidRPr="003C6653">
        <w:rPr>
          <w:b/>
        </w:rPr>
        <w:t>Physical requirements</w:t>
      </w:r>
    </w:p>
    <w:p w14:paraId="629D792A" w14:textId="77777777" w:rsidR="002D7AE4" w:rsidRPr="003C6653" w:rsidRDefault="00A85C68">
      <w:r>
        <w:t>N/A</w:t>
      </w:r>
    </w:p>
    <w:p w14:paraId="53128261" w14:textId="77777777" w:rsidR="00FC6B94" w:rsidRPr="003C6653" w:rsidRDefault="00FC6B94"/>
    <w:p w14:paraId="314E9429" w14:textId="77777777" w:rsidR="002D7AE4" w:rsidRPr="003C6653" w:rsidRDefault="002D7AE4">
      <w:pPr>
        <w:shd w:val="clear" w:color="auto" w:fill="E0E0E0"/>
        <w:rPr>
          <w:b/>
        </w:rPr>
      </w:pPr>
      <w:r w:rsidRPr="003C6653">
        <w:rPr>
          <w:b/>
        </w:rPr>
        <w:t>Direct reports</w:t>
      </w:r>
    </w:p>
    <w:p w14:paraId="1299C43A" w14:textId="750EB6D2" w:rsidR="002D7AE4" w:rsidRPr="00A51435" w:rsidRDefault="00A85C68">
      <w:pPr>
        <w:rPr>
          <w:rFonts w:ascii="Georgia" w:hAnsi="Georgia" w:cs="Arial"/>
          <w:sz w:val="20"/>
        </w:rPr>
      </w:pPr>
      <w:r w:rsidRPr="00BE37B5">
        <w:t xml:space="preserve">Supervises the professional and clerical staff assigned to the </w:t>
      </w:r>
      <w:r w:rsidR="0048516C">
        <w:t>Program Director</w:t>
      </w:r>
      <w:r w:rsidRPr="00BE37B5">
        <w:t>.</w:t>
      </w:r>
      <w:r w:rsidR="0048516C">
        <w:t xml:space="preserve"> </w:t>
      </w:r>
      <w:r w:rsidRPr="00BE37B5">
        <w:t>Responsibilities include assigning work, evaluating performance, and</w:t>
      </w:r>
      <w:r w:rsidR="0048516C">
        <w:t xml:space="preserve"> </w:t>
      </w:r>
      <w:r>
        <w:t>rewarding or disciplining employees who report directly to the</w:t>
      </w:r>
      <w:r w:rsidR="001B207A">
        <w:t xml:space="preserve"> </w:t>
      </w:r>
      <w:r w:rsidR="0048516C">
        <w:t>Program Director</w:t>
      </w:r>
      <w:r>
        <w:t>, as well as</w:t>
      </w:r>
      <w:r w:rsidR="58DF0751">
        <w:t xml:space="preserve"> </w:t>
      </w:r>
      <w:r>
        <w:t>addressing complaints and resolving problems of persons who report to those individuals</w:t>
      </w:r>
      <w:r w:rsidR="0048516C">
        <w:t xml:space="preserve"> </w:t>
      </w:r>
      <w:r w:rsidRPr="00BE37B5">
        <w:t xml:space="preserve">reporting directly to the </w:t>
      </w:r>
      <w:r w:rsidR="00920D84">
        <w:t>Program Director</w:t>
      </w:r>
      <w:r w:rsidRPr="00BE37B5">
        <w:t>.</w:t>
      </w:r>
      <w:r w:rsidR="004F3BD8" w:rsidRPr="00A51435">
        <w:rPr>
          <w:rFonts w:ascii="Georgia" w:hAnsi="Georgia" w:cs="Arial"/>
          <w:sz w:val="20"/>
        </w:rPr>
        <w:t xml:space="preserve"> </w:t>
      </w:r>
    </w:p>
    <w:tbl>
      <w:tblPr>
        <w:tblStyle w:val="TableGrid"/>
        <w:tblW w:w="0" w:type="auto"/>
        <w:tblLook w:val="01E0" w:firstRow="1" w:lastRow="1" w:firstColumn="1" w:lastColumn="1" w:noHBand="0" w:noVBand="0"/>
      </w:tblPr>
      <w:tblGrid>
        <w:gridCol w:w="2061"/>
        <w:gridCol w:w="6569"/>
      </w:tblGrid>
      <w:tr w:rsidR="002D7AE4" w:rsidRPr="00A51435" w14:paraId="3A749DDB" w14:textId="77777777" w:rsidTr="004F3BD8">
        <w:tc>
          <w:tcPr>
            <w:tcW w:w="2090" w:type="dxa"/>
          </w:tcPr>
          <w:p w14:paraId="19D35CC3" w14:textId="77777777" w:rsidR="002D7AE4" w:rsidRPr="003C6653" w:rsidRDefault="002D7AE4" w:rsidP="003A4B69">
            <w:pPr>
              <w:rPr>
                <w:b/>
              </w:rPr>
            </w:pPr>
            <w:r w:rsidRPr="003C6653">
              <w:rPr>
                <w:b/>
              </w:rPr>
              <w:t>Approved by:</w:t>
            </w:r>
          </w:p>
        </w:tc>
        <w:tc>
          <w:tcPr>
            <w:tcW w:w="6772" w:type="dxa"/>
          </w:tcPr>
          <w:p w14:paraId="4DDBEF00" w14:textId="41C9F52F" w:rsidR="005F590B" w:rsidRDefault="005F590B">
            <w:pPr>
              <w:ind w:left="72"/>
            </w:pPr>
          </w:p>
          <w:p w14:paraId="09AB0D02" w14:textId="7A9570A5" w:rsidR="00B803E7" w:rsidRPr="007828D3" w:rsidRDefault="00CE7353">
            <w:pPr>
              <w:ind w:left="72"/>
            </w:pPr>
            <w:r>
              <w:t>Gina Craft</w:t>
            </w:r>
            <w:r w:rsidR="0029462F">
              <w:t xml:space="preserve">, </w:t>
            </w:r>
            <w:r w:rsidR="009C1102">
              <w:t xml:space="preserve">Interim </w:t>
            </w:r>
            <w:r w:rsidR="0029462F">
              <w:t>Dean</w:t>
            </w:r>
          </w:p>
        </w:tc>
      </w:tr>
      <w:tr w:rsidR="002D7AE4" w:rsidRPr="00A51435" w14:paraId="028BB0FD" w14:textId="77777777" w:rsidTr="004F3BD8">
        <w:trPr>
          <w:trHeight w:val="404"/>
        </w:trPr>
        <w:tc>
          <w:tcPr>
            <w:tcW w:w="2090" w:type="dxa"/>
          </w:tcPr>
          <w:p w14:paraId="04A83027" w14:textId="77777777" w:rsidR="002D7AE4" w:rsidRPr="003C6653" w:rsidRDefault="002D7AE4" w:rsidP="003A4B69">
            <w:r w:rsidRPr="003C6653">
              <w:rPr>
                <w:b/>
              </w:rPr>
              <w:t>Date approved:</w:t>
            </w:r>
          </w:p>
        </w:tc>
        <w:tc>
          <w:tcPr>
            <w:tcW w:w="6772" w:type="dxa"/>
          </w:tcPr>
          <w:p w14:paraId="5F794869" w14:textId="1411400D" w:rsidR="002D7AE4" w:rsidRPr="007828D3" w:rsidRDefault="002D7AE4" w:rsidP="00002E5F">
            <w:pPr>
              <w:ind w:left="72"/>
            </w:pPr>
          </w:p>
        </w:tc>
      </w:tr>
      <w:tr w:rsidR="002D7AE4" w:rsidRPr="00A51435" w14:paraId="6EE44F6E" w14:textId="77777777" w:rsidTr="004F3BD8">
        <w:trPr>
          <w:trHeight w:val="431"/>
        </w:trPr>
        <w:tc>
          <w:tcPr>
            <w:tcW w:w="2090" w:type="dxa"/>
          </w:tcPr>
          <w:p w14:paraId="63B348AD" w14:textId="77777777" w:rsidR="002D7AE4" w:rsidRPr="003C6653" w:rsidRDefault="002D7AE4" w:rsidP="003A4B69">
            <w:r w:rsidRPr="003C6653">
              <w:rPr>
                <w:b/>
              </w:rPr>
              <w:t>Reviewed:</w:t>
            </w:r>
          </w:p>
        </w:tc>
        <w:tc>
          <w:tcPr>
            <w:tcW w:w="6772" w:type="dxa"/>
          </w:tcPr>
          <w:p w14:paraId="3461D779" w14:textId="3B6B07A6" w:rsidR="002D7AE4" w:rsidRPr="007828D3" w:rsidRDefault="009C1102" w:rsidP="003A4B69">
            <w:pPr>
              <w:ind w:left="72"/>
            </w:pPr>
            <w:r>
              <w:t>3/17/26</w:t>
            </w:r>
          </w:p>
        </w:tc>
      </w:tr>
    </w:tbl>
    <w:p w14:paraId="3CF2D8B6" w14:textId="77777777" w:rsidR="002D7AE4" w:rsidRPr="00A51435" w:rsidRDefault="002D7AE4">
      <w:pPr>
        <w:rPr>
          <w:rFonts w:ascii="Georgia" w:hAnsi="Georgia" w:cs="Arial"/>
          <w:sz w:val="20"/>
        </w:rPr>
      </w:pPr>
    </w:p>
    <w:p w14:paraId="64C0CD07" w14:textId="77777777" w:rsidR="002D7AE4" w:rsidRDefault="003A4B69" w:rsidP="003A4B69">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p>
    <w:p w14:paraId="0FB78278" w14:textId="77777777" w:rsidR="00A51435" w:rsidRDefault="00A51435">
      <w:pPr>
        <w:rPr>
          <w:rFonts w:ascii="Georgia" w:hAnsi="Georgia" w:cs="Arial"/>
          <w:i/>
          <w:sz w:val="20"/>
        </w:rPr>
      </w:pPr>
    </w:p>
    <w:p w14:paraId="1FC39945" w14:textId="77777777" w:rsidR="00A51435" w:rsidRPr="00A51435" w:rsidRDefault="00A51435" w:rsidP="009906A4">
      <w:pPr>
        <w:rPr>
          <w:rFonts w:ascii="Georgia" w:hAnsi="Georgia" w:cs="Arial"/>
          <w:i/>
          <w:sz w:val="20"/>
        </w:rPr>
      </w:pPr>
    </w:p>
    <w:sectPr w:rsidR="00A51435" w:rsidRPr="00A51435" w:rsidSect="00AB0FCD">
      <w:headerReference w:type="even" r:id="rId10"/>
      <w:headerReference w:type="default" r:id="rId11"/>
      <w:footerReference w:type="default" r:id="rId12"/>
      <w:footerReference w:type="first" r:id="rId13"/>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87C7" w14:textId="77777777" w:rsidR="00142733" w:rsidRDefault="00142733">
      <w:r>
        <w:separator/>
      </w:r>
    </w:p>
  </w:endnote>
  <w:endnote w:type="continuationSeparator" w:id="0">
    <w:p w14:paraId="29CC5CB1" w14:textId="77777777" w:rsidR="00142733" w:rsidRDefault="0014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508"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6B699379"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F3C5" w14:textId="77777777" w:rsidR="006D59AF" w:rsidRDefault="006D59AF" w:rsidP="006D59AF">
    <w:pPr>
      <w:pStyle w:val="Footer"/>
      <w:rPr>
        <w:sz w:val="16"/>
        <w:szCs w:val="16"/>
      </w:rPr>
    </w:pPr>
  </w:p>
  <w:p w14:paraId="6C78075E"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6D98A12B" w14:textId="77777777" w:rsidR="00673E5E" w:rsidRDefault="00673E5E">
    <w:pPr>
      <w:pStyle w:val="Footer"/>
    </w:pPr>
  </w:p>
  <w:p w14:paraId="2946DB82"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4426" w14:textId="77777777" w:rsidR="00142733" w:rsidRDefault="00142733">
      <w:r>
        <w:separator/>
      </w:r>
    </w:p>
  </w:footnote>
  <w:footnote w:type="continuationSeparator" w:id="0">
    <w:p w14:paraId="26641241" w14:textId="77777777" w:rsidR="00142733" w:rsidRDefault="0014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6223" w14:textId="77777777" w:rsidR="002D7AE4" w:rsidRDefault="00816CB2">
    <w:pPr>
      <w:pStyle w:val="Header"/>
    </w:pPr>
    <w:r>
      <w:rPr>
        <w:noProof/>
      </w:rPr>
      <w:drawing>
        <wp:inline distT="0" distB="0" distL="0" distR="0" wp14:anchorId="600E43F1" wp14:editId="04A9CC6D">
          <wp:extent cx="1368425" cy="13684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1368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2D7AE4" w:rsidRDefault="002D7AE4">
    <w:pPr>
      <w:pStyle w:val="Header"/>
      <w:tabs>
        <w:tab w:val="clear" w:pos="8640"/>
        <w:tab w:val="right" w:pos="9360"/>
      </w:tabs>
      <w:ind w:left="-720" w:right="-720"/>
      <w:jc w:val="right"/>
    </w:pPr>
  </w:p>
  <w:p w14:paraId="1F72F646" w14:textId="77777777" w:rsidR="002D7AE4" w:rsidRDefault="002D7AE4">
    <w:pPr>
      <w:pStyle w:val="Header"/>
      <w:tabs>
        <w:tab w:val="clear" w:pos="8640"/>
      </w:tabs>
      <w:ind w:left="-1260" w:right="-720"/>
      <w:jc w:val="right"/>
    </w:pPr>
  </w:p>
  <w:p w14:paraId="483E86B4" w14:textId="4D0ED43F"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43A1B"/>
    <w:multiLevelType w:val="hybridMultilevel"/>
    <w:tmpl w:val="D54C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30CA2"/>
    <w:multiLevelType w:val="hybridMultilevel"/>
    <w:tmpl w:val="CE72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428DF"/>
    <w:multiLevelType w:val="hybridMultilevel"/>
    <w:tmpl w:val="6EFC216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DB35DC"/>
    <w:multiLevelType w:val="hybridMultilevel"/>
    <w:tmpl w:val="D5548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C6841"/>
    <w:multiLevelType w:val="hybridMultilevel"/>
    <w:tmpl w:val="2868A336"/>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881C63"/>
    <w:multiLevelType w:val="hybridMultilevel"/>
    <w:tmpl w:val="52388C12"/>
    <w:lvl w:ilvl="0" w:tplc="313054F8">
      <w:start w:val="1"/>
      <w:numFmt w:val="bullet"/>
      <w:lvlText w:val="·"/>
      <w:lvlJc w:val="left"/>
      <w:pPr>
        <w:ind w:left="720" w:hanging="360"/>
      </w:pPr>
      <w:rPr>
        <w:rFonts w:ascii="Symbol" w:hAnsi="Symbol" w:hint="default"/>
      </w:rPr>
    </w:lvl>
    <w:lvl w:ilvl="1" w:tplc="332A2D2C">
      <w:start w:val="1"/>
      <w:numFmt w:val="bullet"/>
      <w:lvlText w:val="o"/>
      <w:lvlJc w:val="left"/>
      <w:pPr>
        <w:ind w:left="1440" w:hanging="360"/>
      </w:pPr>
      <w:rPr>
        <w:rFonts w:ascii="Courier New" w:hAnsi="Courier New" w:hint="default"/>
      </w:rPr>
    </w:lvl>
    <w:lvl w:ilvl="2" w:tplc="3E06FEDC">
      <w:start w:val="1"/>
      <w:numFmt w:val="bullet"/>
      <w:lvlText w:val=""/>
      <w:lvlJc w:val="left"/>
      <w:pPr>
        <w:ind w:left="2160" w:hanging="360"/>
      </w:pPr>
      <w:rPr>
        <w:rFonts w:ascii="Wingdings" w:hAnsi="Wingdings" w:hint="default"/>
      </w:rPr>
    </w:lvl>
    <w:lvl w:ilvl="3" w:tplc="F14A4D16">
      <w:start w:val="1"/>
      <w:numFmt w:val="bullet"/>
      <w:lvlText w:val=""/>
      <w:lvlJc w:val="left"/>
      <w:pPr>
        <w:ind w:left="2880" w:hanging="360"/>
      </w:pPr>
      <w:rPr>
        <w:rFonts w:ascii="Symbol" w:hAnsi="Symbol" w:hint="default"/>
      </w:rPr>
    </w:lvl>
    <w:lvl w:ilvl="4" w:tplc="B7AAAA52">
      <w:start w:val="1"/>
      <w:numFmt w:val="bullet"/>
      <w:lvlText w:val="o"/>
      <w:lvlJc w:val="left"/>
      <w:pPr>
        <w:ind w:left="3600" w:hanging="360"/>
      </w:pPr>
      <w:rPr>
        <w:rFonts w:ascii="Courier New" w:hAnsi="Courier New" w:hint="default"/>
      </w:rPr>
    </w:lvl>
    <w:lvl w:ilvl="5" w:tplc="9692CC52">
      <w:start w:val="1"/>
      <w:numFmt w:val="bullet"/>
      <w:lvlText w:val=""/>
      <w:lvlJc w:val="left"/>
      <w:pPr>
        <w:ind w:left="4320" w:hanging="360"/>
      </w:pPr>
      <w:rPr>
        <w:rFonts w:ascii="Wingdings" w:hAnsi="Wingdings" w:hint="default"/>
      </w:rPr>
    </w:lvl>
    <w:lvl w:ilvl="6" w:tplc="ED127164">
      <w:start w:val="1"/>
      <w:numFmt w:val="bullet"/>
      <w:lvlText w:val=""/>
      <w:lvlJc w:val="left"/>
      <w:pPr>
        <w:ind w:left="5040" w:hanging="360"/>
      </w:pPr>
      <w:rPr>
        <w:rFonts w:ascii="Symbol" w:hAnsi="Symbol" w:hint="default"/>
      </w:rPr>
    </w:lvl>
    <w:lvl w:ilvl="7" w:tplc="7B641B2A">
      <w:start w:val="1"/>
      <w:numFmt w:val="bullet"/>
      <w:lvlText w:val="o"/>
      <w:lvlJc w:val="left"/>
      <w:pPr>
        <w:ind w:left="5760" w:hanging="360"/>
      </w:pPr>
      <w:rPr>
        <w:rFonts w:ascii="Courier New" w:hAnsi="Courier New" w:hint="default"/>
      </w:rPr>
    </w:lvl>
    <w:lvl w:ilvl="8" w:tplc="67603322">
      <w:start w:val="1"/>
      <w:numFmt w:val="bullet"/>
      <w:lvlText w:val=""/>
      <w:lvlJc w:val="left"/>
      <w:pPr>
        <w:ind w:left="6480" w:hanging="360"/>
      </w:pPr>
      <w:rPr>
        <w:rFonts w:ascii="Wingdings" w:hAnsi="Wingdings" w:hint="default"/>
      </w:rPr>
    </w:lvl>
  </w:abstractNum>
  <w:abstractNum w:abstractNumId="9" w15:restartNumberingAfterBreak="0">
    <w:nsid w:val="38E44720"/>
    <w:multiLevelType w:val="hybridMultilevel"/>
    <w:tmpl w:val="CE56792A"/>
    <w:lvl w:ilvl="0" w:tplc="D4EAB0F0">
      <w:start w:val="1"/>
      <w:numFmt w:val="bullet"/>
      <w:lvlText w:val="·"/>
      <w:lvlJc w:val="left"/>
      <w:pPr>
        <w:ind w:left="720" w:hanging="360"/>
      </w:pPr>
      <w:rPr>
        <w:rFonts w:ascii="Symbol" w:hAnsi="Symbol" w:hint="default"/>
      </w:rPr>
    </w:lvl>
    <w:lvl w:ilvl="1" w:tplc="5E900ED6">
      <w:start w:val="1"/>
      <w:numFmt w:val="bullet"/>
      <w:lvlText w:val="o"/>
      <w:lvlJc w:val="left"/>
      <w:pPr>
        <w:ind w:left="1440" w:hanging="360"/>
      </w:pPr>
      <w:rPr>
        <w:rFonts w:ascii="Courier New" w:hAnsi="Courier New" w:hint="default"/>
      </w:rPr>
    </w:lvl>
    <w:lvl w:ilvl="2" w:tplc="7012D62A">
      <w:start w:val="1"/>
      <w:numFmt w:val="bullet"/>
      <w:lvlText w:val=""/>
      <w:lvlJc w:val="left"/>
      <w:pPr>
        <w:ind w:left="2160" w:hanging="360"/>
      </w:pPr>
      <w:rPr>
        <w:rFonts w:ascii="Wingdings" w:hAnsi="Wingdings" w:hint="default"/>
      </w:rPr>
    </w:lvl>
    <w:lvl w:ilvl="3" w:tplc="9DDA1C16">
      <w:start w:val="1"/>
      <w:numFmt w:val="bullet"/>
      <w:lvlText w:val=""/>
      <w:lvlJc w:val="left"/>
      <w:pPr>
        <w:ind w:left="2880" w:hanging="360"/>
      </w:pPr>
      <w:rPr>
        <w:rFonts w:ascii="Symbol" w:hAnsi="Symbol" w:hint="default"/>
      </w:rPr>
    </w:lvl>
    <w:lvl w:ilvl="4" w:tplc="00ECDF1E">
      <w:start w:val="1"/>
      <w:numFmt w:val="bullet"/>
      <w:lvlText w:val="o"/>
      <w:lvlJc w:val="left"/>
      <w:pPr>
        <w:ind w:left="3600" w:hanging="360"/>
      </w:pPr>
      <w:rPr>
        <w:rFonts w:ascii="Courier New" w:hAnsi="Courier New" w:hint="default"/>
      </w:rPr>
    </w:lvl>
    <w:lvl w:ilvl="5" w:tplc="2E4A508A">
      <w:start w:val="1"/>
      <w:numFmt w:val="bullet"/>
      <w:lvlText w:val=""/>
      <w:lvlJc w:val="left"/>
      <w:pPr>
        <w:ind w:left="4320" w:hanging="360"/>
      </w:pPr>
      <w:rPr>
        <w:rFonts w:ascii="Wingdings" w:hAnsi="Wingdings" w:hint="default"/>
      </w:rPr>
    </w:lvl>
    <w:lvl w:ilvl="6" w:tplc="406C00E4">
      <w:start w:val="1"/>
      <w:numFmt w:val="bullet"/>
      <w:lvlText w:val=""/>
      <w:lvlJc w:val="left"/>
      <w:pPr>
        <w:ind w:left="5040" w:hanging="360"/>
      </w:pPr>
      <w:rPr>
        <w:rFonts w:ascii="Symbol" w:hAnsi="Symbol" w:hint="default"/>
      </w:rPr>
    </w:lvl>
    <w:lvl w:ilvl="7" w:tplc="88F80380">
      <w:start w:val="1"/>
      <w:numFmt w:val="bullet"/>
      <w:lvlText w:val="o"/>
      <w:lvlJc w:val="left"/>
      <w:pPr>
        <w:ind w:left="5760" w:hanging="360"/>
      </w:pPr>
      <w:rPr>
        <w:rFonts w:ascii="Courier New" w:hAnsi="Courier New" w:hint="default"/>
      </w:rPr>
    </w:lvl>
    <w:lvl w:ilvl="8" w:tplc="893C4B04">
      <w:start w:val="1"/>
      <w:numFmt w:val="bullet"/>
      <w:lvlText w:val=""/>
      <w:lvlJc w:val="left"/>
      <w:pPr>
        <w:ind w:left="6480" w:hanging="360"/>
      </w:pPr>
      <w:rPr>
        <w:rFonts w:ascii="Wingdings" w:hAnsi="Wingdings" w:hint="default"/>
      </w:rPr>
    </w:lvl>
  </w:abstractNum>
  <w:abstractNum w:abstractNumId="10" w15:restartNumberingAfterBreak="0">
    <w:nsid w:val="3A04618C"/>
    <w:multiLevelType w:val="hybridMultilevel"/>
    <w:tmpl w:val="F9ACF10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5E068E8"/>
    <w:multiLevelType w:val="hybridMultilevel"/>
    <w:tmpl w:val="D5D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E1894"/>
    <w:multiLevelType w:val="hybridMultilevel"/>
    <w:tmpl w:val="5072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E513D"/>
    <w:multiLevelType w:val="hybridMultilevel"/>
    <w:tmpl w:val="63787E02"/>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1605E7"/>
    <w:multiLevelType w:val="hybridMultilevel"/>
    <w:tmpl w:val="19DEA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90084"/>
    <w:multiLevelType w:val="hybridMultilevel"/>
    <w:tmpl w:val="0DD607BC"/>
    <w:lvl w:ilvl="0" w:tplc="1FCAFD7C">
      <w:start w:val="1"/>
      <w:numFmt w:val="bullet"/>
      <w:lvlText w:val="·"/>
      <w:lvlJc w:val="left"/>
      <w:pPr>
        <w:ind w:left="720" w:hanging="360"/>
      </w:pPr>
      <w:rPr>
        <w:rFonts w:ascii="Symbol" w:hAnsi="Symbol" w:hint="default"/>
      </w:rPr>
    </w:lvl>
    <w:lvl w:ilvl="1" w:tplc="2DFEE31E">
      <w:start w:val="1"/>
      <w:numFmt w:val="bullet"/>
      <w:lvlText w:val="o"/>
      <w:lvlJc w:val="left"/>
      <w:pPr>
        <w:ind w:left="1440" w:hanging="360"/>
      </w:pPr>
      <w:rPr>
        <w:rFonts w:ascii="Courier New" w:hAnsi="Courier New" w:hint="default"/>
      </w:rPr>
    </w:lvl>
    <w:lvl w:ilvl="2" w:tplc="B476B742">
      <w:start w:val="1"/>
      <w:numFmt w:val="bullet"/>
      <w:lvlText w:val=""/>
      <w:lvlJc w:val="left"/>
      <w:pPr>
        <w:ind w:left="2160" w:hanging="360"/>
      </w:pPr>
      <w:rPr>
        <w:rFonts w:ascii="Wingdings" w:hAnsi="Wingdings" w:hint="default"/>
      </w:rPr>
    </w:lvl>
    <w:lvl w:ilvl="3" w:tplc="D23CBFF6">
      <w:start w:val="1"/>
      <w:numFmt w:val="bullet"/>
      <w:lvlText w:val=""/>
      <w:lvlJc w:val="left"/>
      <w:pPr>
        <w:ind w:left="2880" w:hanging="360"/>
      </w:pPr>
      <w:rPr>
        <w:rFonts w:ascii="Symbol" w:hAnsi="Symbol" w:hint="default"/>
      </w:rPr>
    </w:lvl>
    <w:lvl w:ilvl="4" w:tplc="CF7C3EE4">
      <w:start w:val="1"/>
      <w:numFmt w:val="bullet"/>
      <w:lvlText w:val="o"/>
      <w:lvlJc w:val="left"/>
      <w:pPr>
        <w:ind w:left="3600" w:hanging="360"/>
      </w:pPr>
      <w:rPr>
        <w:rFonts w:ascii="Courier New" w:hAnsi="Courier New" w:hint="default"/>
      </w:rPr>
    </w:lvl>
    <w:lvl w:ilvl="5" w:tplc="36C6A5E4">
      <w:start w:val="1"/>
      <w:numFmt w:val="bullet"/>
      <w:lvlText w:val=""/>
      <w:lvlJc w:val="left"/>
      <w:pPr>
        <w:ind w:left="4320" w:hanging="360"/>
      </w:pPr>
      <w:rPr>
        <w:rFonts w:ascii="Wingdings" w:hAnsi="Wingdings" w:hint="default"/>
      </w:rPr>
    </w:lvl>
    <w:lvl w:ilvl="6" w:tplc="88B4E0EE">
      <w:start w:val="1"/>
      <w:numFmt w:val="bullet"/>
      <w:lvlText w:val=""/>
      <w:lvlJc w:val="left"/>
      <w:pPr>
        <w:ind w:left="5040" w:hanging="360"/>
      </w:pPr>
      <w:rPr>
        <w:rFonts w:ascii="Symbol" w:hAnsi="Symbol" w:hint="default"/>
      </w:rPr>
    </w:lvl>
    <w:lvl w:ilvl="7" w:tplc="AAA05B64">
      <w:start w:val="1"/>
      <w:numFmt w:val="bullet"/>
      <w:lvlText w:val="o"/>
      <w:lvlJc w:val="left"/>
      <w:pPr>
        <w:ind w:left="5760" w:hanging="360"/>
      </w:pPr>
      <w:rPr>
        <w:rFonts w:ascii="Courier New" w:hAnsi="Courier New" w:hint="default"/>
      </w:rPr>
    </w:lvl>
    <w:lvl w:ilvl="8" w:tplc="A21C80CC">
      <w:start w:val="1"/>
      <w:numFmt w:val="bullet"/>
      <w:lvlText w:val=""/>
      <w:lvlJc w:val="left"/>
      <w:pPr>
        <w:ind w:left="6480" w:hanging="360"/>
      </w:pPr>
      <w:rPr>
        <w:rFonts w:ascii="Wingdings" w:hAnsi="Wingdings" w:hint="default"/>
      </w:rPr>
    </w:lvl>
  </w:abstractNum>
  <w:num w:numId="1" w16cid:durableId="1544711039">
    <w:abstractNumId w:val="9"/>
  </w:num>
  <w:num w:numId="2" w16cid:durableId="229653892">
    <w:abstractNumId w:val="8"/>
  </w:num>
  <w:num w:numId="3" w16cid:durableId="1081177111">
    <w:abstractNumId w:val="15"/>
  </w:num>
  <w:num w:numId="4" w16cid:durableId="687563022">
    <w:abstractNumId w:val="4"/>
  </w:num>
  <w:num w:numId="5" w16cid:durableId="890767972">
    <w:abstractNumId w:val="0"/>
  </w:num>
  <w:num w:numId="6" w16cid:durableId="287051259">
    <w:abstractNumId w:val="1"/>
  </w:num>
  <w:num w:numId="7" w16cid:durableId="1973441334">
    <w:abstractNumId w:val="13"/>
  </w:num>
  <w:num w:numId="8" w16cid:durableId="702829283">
    <w:abstractNumId w:val="7"/>
  </w:num>
  <w:num w:numId="9" w16cid:durableId="1223369584">
    <w:abstractNumId w:val="14"/>
  </w:num>
  <w:num w:numId="10" w16cid:durableId="1151406505">
    <w:abstractNumId w:val="11"/>
  </w:num>
  <w:num w:numId="11" w16cid:durableId="1138305194">
    <w:abstractNumId w:val="6"/>
  </w:num>
  <w:num w:numId="12" w16cid:durableId="1602105785">
    <w:abstractNumId w:val="10"/>
  </w:num>
  <w:num w:numId="13" w16cid:durableId="1754736013">
    <w:abstractNumId w:val="5"/>
  </w:num>
  <w:num w:numId="14" w16cid:durableId="198857476">
    <w:abstractNumId w:val="2"/>
  </w:num>
  <w:num w:numId="15" w16cid:durableId="27027873">
    <w:abstractNumId w:val="3"/>
  </w:num>
  <w:num w:numId="16" w16cid:durableId="166406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02E5F"/>
    <w:rsid w:val="00003ADB"/>
    <w:rsid w:val="00011AFB"/>
    <w:rsid w:val="000512EC"/>
    <w:rsid w:val="000620EB"/>
    <w:rsid w:val="00095ECF"/>
    <w:rsid w:val="000B04F6"/>
    <w:rsid w:val="000B1324"/>
    <w:rsid w:val="000E702B"/>
    <w:rsid w:val="000F3494"/>
    <w:rsid w:val="000F6D58"/>
    <w:rsid w:val="001045A3"/>
    <w:rsid w:val="001142B5"/>
    <w:rsid w:val="001175B8"/>
    <w:rsid w:val="001364F9"/>
    <w:rsid w:val="00142733"/>
    <w:rsid w:val="00146967"/>
    <w:rsid w:val="00183709"/>
    <w:rsid w:val="001A01E8"/>
    <w:rsid w:val="001B207A"/>
    <w:rsid w:val="001C1772"/>
    <w:rsid w:val="00200C08"/>
    <w:rsid w:val="002021BF"/>
    <w:rsid w:val="002153F6"/>
    <w:rsid w:val="0023200F"/>
    <w:rsid w:val="00237004"/>
    <w:rsid w:val="00243BF4"/>
    <w:rsid w:val="00256338"/>
    <w:rsid w:val="00281726"/>
    <w:rsid w:val="00286411"/>
    <w:rsid w:val="0029462F"/>
    <w:rsid w:val="00295646"/>
    <w:rsid w:val="00296A3E"/>
    <w:rsid w:val="002B6784"/>
    <w:rsid w:val="002D34B1"/>
    <w:rsid w:val="002D7AE4"/>
    <w:rsid w:val="002E4554"/>
    <w:rsid w:val="002F23A4"/>
    <w:rsid w:val="00304E20"/>
    <w:rsid w:val="0031040C"/>
    <w:rsid w:val="00333E63"/>
    <w:rsid w:val="00335DF9"/>
    <w:rsid w:val="00337FF3"/>
    <w:rsid w:val="0034578B"/>
    <w:rsid w:val="00373B75"/>
    <w:rsid w:val="00380161"/>
    <w:rsid w:val="003A4B69"/>
    <w:rsid w:val="003B6611"/>
    <w:rsid w:val="003C6653"/>
    <w:rsid w:val="003E24B6"/>
    <w:rsid w:val="0042469F"/>
    <w:rsid w:val="00425D12"/>
    <w:rsid w:val="0048516C"/>
    <w:rsid w:val="004C080F"/>
    <w:rsid w:val="004C6DE4"/>
    <w:rsid w:val="004D7560"/>
    <w:rsid w:val="004F3BD8"/>
    <w:rsid w:val="0050100A"/>
    <w:rsid w:val="005116CE"/>
    <w:rsid w:val="005318D5"/>
    <w:rsid w:val="00542A0D"/>
    <w:rsid w:val="00555409"/>
    <w:rsid w:val="0056587A"/>
    <w:rsid w:val="005A709A"/>
    <w:rsid w:val="005F590B"/>
    <w:rsid w:val="00603CE1"/>
    <w:rsid w:val="00615A42"/>
    <w:rsid w:val="0062609A"/>
    <w:rsid w:val="006263B2"/>
    <w:rsid w:val="00631E74"/>
    <w:rsid w:val="006374DF"/>
    <w:rsid w:val="00643CE6"/>
    <w:rsid w:val="006528AB"/>
    <w:rsid w:val="00673E5E"/>
    <w:rsid w:val="00677022"/>
    <w:rsid w:val="00694374"/>
    <w:rsid w:val="006C75ED"/>
    <w:rsid w:val="006D24E8"/>
    <w:rsid w:val="006D59AF"/>
    <w:rsid w:val="006F7A7A"/>
    <w:rsid w:val="007003D5"/>
    <w:rsid w:val="0072576A"/>
    <w:rsid w:val="00747791"/>
    <w:rsid w:val="007807FA"/>
    <w:rsid w:val="007828D3"/>
    <w:rsid w:val="00784BD4"/>
    <w:rsid w:val="007867BA"/>
    <w:rsid w:val="007A1C41"/>
    <w:rsid w:val="007A2DBE"/>
    <w:rsid w:val="007D4AB3"/>
    <w:rsid w:val="00800DB0"/>
    <w:rsid w:val="008013DC"/>
    <w:rsid w:val="00816CB2"/>
    <w:rsid w:val="00822AF8"/>
    <w:rsid w:val="0084654A"/>
    <w:rsid w:val="00850AC9"/>
    <w:rsid w:val="00867260"/>
    <w:rsid w:val="00882AC0"/>
    <w:rsid w:val="00883F70"/>
    <w:rsid w:val="008851AB"/>
    <w:rsid w:val="008A1E4C"/>
    <w:rsid w:val="008D7EC3"/>
    <w:rsid w:val="008F1624"/>
    <w:rsid w:val="008F5A3B"/>
    <w:rsid w:val="00900C9C"/>
    <w:rsid w:val="00915423"/>
    <w:rsid w:val="00920D84"/>
    <w:rsid w:val="00932458"/>
    <w:rsid w:val="00955435"/>
    <w:rsid w:val="009618EF"/>
    <w:rsid w:val="00967F39"/>
    <w:rsid w:val="00986252"/>
    <w:rsid w:val="009906A4"/>
    <w:rsid w:val="009915EC"/>
    <w:rsid w:val="009924EC"/>
    <w:rsid w:val="0099492E"/>
    <w:rsid w:val="009A5DE4"/>
    <w:rsid w:val="009C1102"/>
    <w:rsid w:val="00A06BBA"/>
    <w:rsid w:val="00A23BAE"/>
    <w:rsid w:val="00A44EE1"/>
    <w:rsid w:val="00A456E2"/>
    <w:rsid w:val="00A456ED"/>
    <w:rsid w:val="00A51435"/>
    <w:rsid w:val="00A65E6A"/>
    <w:rsid w:val="00A85C68"/>
    <w:rsid w:val="00AB0FCD"/>
    <w:rsid w:val="00AE177C"/>
    <w:rsid w:val="00AE6768"/>
    <w:rsid w:val="00AE6CB8"/>
    <w:rsid w:val="00AE71A5"/>
    <w:rsid w:val="00B000CB"/>
    <w:rsid w:val="00B07138"/>
    <w:rsid w:val="00B34FD2"/>
    <w:rsid w:val="00B51078"/>
    <w:rsid w:val="00B65948"/>
    <w:rsid w:val="00B65B6D"/>
    <w:rsid w:val="00B72292"/>
    <w:rsid w:val="00B803E7"/>
    <w:rsid w:val="00BA5D16"/>
    <w:rsid w:val="00BB2BA9"/>
    <w:rsid w:val="00BC1CE6"/>
    <w:rsid w:val="00BD70EC"/>
    <w:rsid w:val="00BE4068"/>
    <w:rsid w:val="00BE73B0"/>
    <w:rsid w:val="00BF3C93"/>
    <w:rsid w:val="00BF55A3"/>
    <w:rsid w:val="00C05541"/>
    <w:rsid w:val="00C2199B"/>
    <w:rsid w:val="00C3234C"/>
    <w:rsid w:val="00C348CF"/>
    <w:rsid w:val="00C35565"/>
    <w:rsid w:val="00CA20B9"/>
    <w:rsid w:val="00CC295D"/>
    <w:rsid w:val="00CC7694"/>
    <w:rsid w:val="00CE7353"/>
    <w:rsid w:val="00D14BB6"/>
    <w:rsid w:val="00D1695B"/>
    <w:rsid w:val="00D16ECF"/>
    <w:rsid w:val="00D661F6"/>
    <w:rsid w:val="00D80524"/>
    <w:rsid w:val="00D86655"/>
    <w:rsid w:val="00D91A19"/>
    <w:rsid w:val="00D9737C"/>
    <w:rsid w:val="00DA7922"/>
    <w:rsid w:val="00DB180E"/>
    <w:rsid w:val="00DD18C0"/>
    <w:rsid w:val="00DE42A8"/>
    <w:rsid w:val="00DE5561"/>
    <w:rsid w:val="00DF7A11"/>
    <w:rsid w:val="00E0059B"/>
    <w:rsid w:val="00E47BA2"/>
    <w:rsid w:val="00E65DBA"/>
    <w:rsid w:val="00E66E86"/>
    <w:rsid w:val="00E702C3"/>
    <w:rsid w:val="00E8228B"/>
    <w:rsid w:val="00E95059"/>
    <w:rsid w:val="00EF4249"/>
    <w:rsid w:val="00EF7FD4"/>
    <w:rsid w:val="00F060E3"/>
    <w:rsid w:val="00F0709B"/>
    <w:rsid w:val="00F11891"/>
    <w:rsid w:val="00F12EC1"/>
    <w:rsid w:val="00F50C05"/>
    <w:rsid w:val="00F63503"/>
    <w:rsid w:val="00F6647E"/>
    <w:rsid w:val="00FC4A15"/>
    <w:rsid w:val="00FC6B94"/>
    <w:rsid w:val="282E41E8"/>
    <w:rsid w:val="4A658B66"/>
    <w:rsid w:val="517A8D56"/>
    <w:rsid w:val="553B88D8"/>
    <w:rsid w:val="58DF0751"/>
    <w:rsid w:val="64949627"/>
    <w:rsid w:val="6E763F76"/>
    <w:rsid w:val="6FF9C9B2"/>
    <w:rsid w:val="79FB3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95363"/>
  <w15:chartTrackingRefBased/>
  <w15:docId w15:val="{82309882-C015-4262-B262-3A69AE96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customStyle="1" w:styleId="ColorfulList-Accent11">
    <w:name w:val="Colorful List - Accent 11"/>
    <w:basedOn w:val="Normal"/>
    <w:uiPriority w:val="34"/>
    <w:qFormat/>
    <w:rsid w:val="00A85C68"/>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pPr>
      <w:ind w:left="720"/>
      <w:contextualSpacing/>
    </w:pPr>
  </w:style>
  <w:style w:type="table" w:styleId="TableGrid">
    <w:name w:val="Table Grid"/>
    <w:basedOn w:val="TableNormal"/>
    <w:rsid w:val="004F3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17" ma:contentTypeDescription="Create a new document." ma:contentTypeScope="" ma:versionID="78618a757a983fb188fcf287557190f3">
  <xsd:schema xmlns:xsd="http://www.w3.org/2001/XMLSchema" xmlns:xs="http://www.w3.org/2001/XMLSchema" xmlns:p="http://schemas.microsoft.com/office/2006/metadata/properties" xmlns:ns2="6470befb-1a01-4a88-b0ce-db078e1601a5" xmlns:ns3="60ddce9d-a29e-4401-b88c-c941f3931da1" targetNamespace="http://schemas.microsoft.com/office/2006/metadata/properties" ma:root="true" ma:fieldsID="34531e78afd7b84fab97943ca7300ee2" ns2:_="" ns3:_="">
    <xsd:import namespace="6470befb-1a01-4a88-b0ce-db078e1601a5"/>
    <xsd:import namespace="60ddce9d-a29e-4401-b88c-c941f3931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bbc829-9b67-4686-9433-94205668f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dce9d-a29e-4401-b88c-c941f3931d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66b086-d5eb-41c8-b807-b5f1ad8c4644}" ma:internalName="TaxCatchAll" ma:showField="CatchAllData" ma:web="60ddce9d-a29e-4401-b88c-c941f3931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ddce9d-a29e-4401-b88c-c941f3931da1" xsi:nil="true"/>
    <lcf76f155ced4ddcb4097134ff3c332f xmlns="6470befb-1a01-4a88-b0ce-db078e1601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F2BAAA-A84A-453A-B69F-FAD9C7248EFB}">
  <ds:schemaRefs>
    <ds:schemaRef ds:uri="http://schemas.microsoft.com/sharepoint/v3/contenttype/forms"/>
  </ds:schemaRefs>
</ds:datastoreItem>
</file>

<file path=customXml/itemProps2.xml><?xml version="1.0" encoding="utf-8"?>
<ds:datastoreItem xmlns:ds="http://schemas.openxmlformats.org/officeDocument/2006/customXml" ds:itemID="{C48ABB2B-EB6D-4A28-AB62-00045CB4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60ddce9d-a29e-4401-b88c-c941f3931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92A5-3CF9-4540-ABA6-52106817A20A}">
  <ds:schemaRefs>
    <ds:schemaRef ds:uri="http://schemas.microsoft.com/office/2006/metadata/properties"/>
    <ds:schemaRef ds:uri="http://schemas.microsoft.com/office/infopath/2007/PartnerControls"/>
    <ds:schemaRef ds:uri="60ddce9d-a29e-4401-b88c-c941f3931da1"/>
    <ds:schemaRef ds:uri="6470befb-1a01-4a88-b0ce-db078e1601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776</Words>
  <Characters>4967</Characters>
  <Application>Microsoft Office Word</Application>
  <DocSecurity>2</DocSecurity>
  <Lines>124</Lines>
  <Paragraphs>64</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2024-06-06T16:14:00Z</cp:lastPrinted>
  <dcterms:created xsi:type="dcterms:W3CDTF">2026-03-26T17:41:00Z</dcterms:created>
  <dcterms:modified xsi:type="dcterms:W3CDTF">2026-03-26T17:41:00Z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0x010100763ACD38A2874841AB357E126F2BE42C</vt:lpwstr>
  </property>
  <property fmtid="{D5CDD505-2E9C-101B-9397-08002B2CF9AE}" pid="3" name="MediaServiceImageTags">
    <vt:lpwstr/>
  </property>
</Properties>
</file>